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4459555A"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925FD2">
          <w:rPr>
            <w:noProof/>
            <w:webHidden/>
          </w:rPr>
          <w:t>4</w:t>
        </w:r>
        <w:r w:rsidR="00DD3144">
          <w:rPr>
            <w:noProof/>
            <w:webHidden/>
          </w:rPr>
          <w:fldChar w:fldCharType="end"/>
        </w:r>
      </w:hyperlink>
    </w:p>
    <w:p w14:paraId="649DCDC2" w14:textId="299C8B77"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925FD2">
          <w:rPr>
            <w:noProof/>
            <w:webHidden/>
          </w:rPr>
          <w:t>9</w:t>
        </w:r>
        <w:r w:rsidR="00DD3144">
          <w:rPr>
            <w:noProof/>
            <w:webHidden/>
          </w:rPr>
          <w:fldChar w:fldCharType="end"/>
        </w:r>
      </w:hyperlink>
    </w:p>
    <w:p w14:paraId="14EB7B59" w14:textId="767DBCCB"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925FD2">
          <w:rPr>
            <w:noProof/>
            <w:webHidden/>
          </w:rPr>
          <w:t>9</w:t>
        </w:r>
        <w:r w:rsidR="00DD3144">
          <w:rPr>
            <w:noProof/>
            <w:webHidden/>
          </w:rPr>
          <w:fldChar w:fldCharType="end"/>
        </w:r>
      </w:hyperlink>
    </w:p>
    <w:p w14:paraId="28E7C014" w14:textId="0D2CADB7"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925FD2">
          <w:rPr>
            <w:noProof/>
            <w:webHidden/>
          </w:rPr>
          <w:t>14</w:t>
        </w:r>
        <w:r w:rsidR="00DD3144">
          <w:rPr>
            <w:noProof/>
            <w:webHidden/>
          </w:rPr>
          <w:fldChar w:fldCharType="end"/>
        </w:r>
      </w:hyperlink>
    </w:p>
    <w:p w14:paraId="5DC08253" w14:textId="56ACA3D6"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925FD2">
          <w:rPr>
            <w:noProof/>
            <w:webHidden/>
          </w:rPr>
          <w:t>26</w:t>
        </w:r>
        <w:r w:rsidR="00DD3144">
          <w:rPr>
            <w:noProof/>
            <w:webHidden/>
          </w:rPr>
          <w:fldChar w:fldCharType="end"/>
        </w:r>
      </w:hyperlink>
    </w:p>
    <w:p w14:paraId="3D5499CC" w14:textId="446A5D9A"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925FD2">
          <w:rPr>
            <w:noProof/>
            <w:webHidden/>
          </w:rPr>
          <w:t>28</w:t>
        </w:r>
        <w:r w:rsidR="00DD3144">
          <w:rPr>
            <w:noProof/>
            <w:webHidden/>
          </w:rPr>
          <w:fldChar w:fldCharType="end"/>
        </w:r>
      </w:hyperlink>
    </w:p>
    <w:p w14:paraId="719CF34F" w14:textId="6E80A3F4"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925FD2">
          <w:rPr>
            <w:noProof/>
            <w:webHidden/>
          </w:rPr>
          <w:t>28</w:t>
        </w:r>
        <w:r w:rsidR="00DD3144">
          <w:rPr>
            <w:noProof/>
            <w:webHidden/>
          </w:rPr>
          <w:fldChar w:fldCharType="end"/>
        </w:r>
      </w:hyperlink>
    </w:p>
    <w:p w14:paraId="2D2F137D" w14:textId="304FD65B"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925FD2">
          <w:rPr>
            <w:noProof/>
            <w:webHidden/>
          </w:rPr>
          <w:t>33</w:t>
        </w:r>
        <w:r w:rsidR="00DD3144">
          <w:rPr>
            <w:noProof/>
            <w:webHidden/>
          </w:rPr>
          <w:fldChar w:fldCharType="end"/>
        </w:r>
      </w:hyperlink>
    </w:p>
    <w:p w14:paraId="020B6A92" w14:textId="6BF77A52"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925FD2">
          <w:rPr>
            <w:noProof/>
            <w:webHidden/>
          </w:rPr>
          <w:t>33</w:t>
        </w:r>
        <w:r w:rsidR="00DD3144">
          <w:rPr>
            <w:noProof/>
            <w:webHidden/>
          </w:rPr>
          <w:fldChar w:fldCharType="end"/>
        </w:r>
      </w:hyperlink>
    </w:p>
    <w:p w14:paraId="0B041372" w14:textId="30355A97"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925FD2">
          <w:rPr>
            <w:noProof/>
            <w:webHidden/>
          </w:rPr>
          <w:t>34</w:t>
        </w:r>
        <w:r w:rsidR="00DD3144">
          <w:rPr>
            <w:noProof/>
            <w:webHidden/>
          </w:rPr>
          <w:fldChar w:fldCharType="end"/>
        </w:r>
      </w:hyperlink>
    </w:p>
    <w:p w14:paraId="366ABCEE" w14:textId="1E1D9E9B"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925FD2">
          <w:rPr>
            <w:noProof/>
            <w:webHidden/>
          </w:rPr>
          <w:t>37</w:t>
        </w:r>
        <w:r w:rsidR="00DD3144">
          <w:rPr>
            <w:noProof/>
            <w:webHidden/>
          </w:rPr>
          <w:fldChar w:fldCharType="end"/>
        </w:r>
      </w:hyperlink>
    </w:p>
    <w:p w14:paraId="37DECFFE" w14:textId="345DD463"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925FD2">
          <w:rPr>
            <w:noProof/>
            <w:webHidden/>
          </w:rPr>
          <w:t>39</w:t>
        </w:r>
        <w:r w:rsidR="00DD3144">
          <w:rPr>
            <w:noProof/>
            <w:webHidden/>
          </w:rPr>
          <w:fldChar w:fldCharType="end"/>
        </w:r>
      </w:hyperlink>
    </w:p>
    <w:p w14:paraId="79DE1026" w14:textId="1D754DC1"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925FD2">
          <w:rPr>
            <w:noProof/>
            <w:webHidden/>
          </w:rPr>
          <w:t>41</w:t>
        </w:r>
        <w:r w:rsidR="00DD3144">
          <w:rPr>
            <w:noProof/>
            <w:webHidden/>
          </w:rPr>
          <w:fldChar w:fldCharType="end"/>
        </w:r>
      </w:hyperlink>
    </w:p>
    <w:p w14:paraId="571E6994" w14:textId="577ACBBF"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925FD2">
          <w:rPr>
            <w:noProof/>
            <w:webHidden/>
          </w:rPr>
          <w:t>41</w:t>
        </w:r>
        <w:r w:rsidR="00DD3144">
          <w:rPr>
            <w:noProof/>
            <w:webHidden/>
          </w:rPr>
          <w:fldChar w:fldCharType="end"/>
        </w:r>
      </w:hyperlink>
    </w:p>
    <w:p w14:paraId="44C542A2" w14:textId="6FD1BECE"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925FD2">
          <w:rPr>
            <w:noProof/>
            <w:webHidden/>
          </w:rPr>
          <w:t>46</w:t>
        </w:r>
        <w:r w:rsidR="00DD3144">
          <w:rPr>
            <w:noProof/>
            <w:webHidden/>
          </w:rPr>
          <w:fldChar w:fldCharType="end"/>
        </w:r>
      </w:hyperlink>
    </w:p>
    <w:p w14:paraId="5E9A21F5" w14:textId="62D0509B"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925FD2">
          <w:rPr>
            <w:noProof/>
            <w:webHidden/>
          </w:rPr>
          <w:t>49</w:t>
        </w:r>
        <w:r w:rsidR="00DD3144">
          <w:rPr>
            <w:noProof/>
            <w:webHidden/>
          </w:rPr>
          <w:fldChar w:fldCharType="end"/>
        </w:r>
      </w:hyperlink>
    </w:p>
    <w:p w14:paraId="5A159D6D" w14:textId="62B07861"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925FD2">
          <w:rPr>
            <w:noProof/>
            <w:webHidden/>
          </w:rPr>
          <w:t>50</w:t>
        </w:r>
        <w:r w:rsidR="00DD3144">
          <w:rPr>
            <w:noProof/>
            <w:webHidden/>
          </w:rPr>
          <w:fldChar w:fldCharType="end"/>
        </w:r>
      </w:hyperlink>
    </w:p>
    <w:p w14:paraId="0A454E3F" w14:textId="561F4ECB"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925FD2">
          <w:rPr>
            <w:noProof/>
            <w:webHidden/>
          </w:rPr>
          <w:t>51</w:t>
        </w:r>
        <w:r w:rsidR="00DD3144">
          <w:rPr>
            <w:noProof/>
            <w:webHidden/>
          </w:rPr>
          <w:fldChar w:fldCharType="end"/>
        </w:r>
      </w:hyperlink>
    </w:p>
    <w:p w14:paraId="1FD76CBA" w14:textId="543AD00B"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925FD2">
          <w:rPr>
            <w:noProof/>
            <w:webHidden/>
          </w:rPr>
          <w:t>51</w:t>
        </w:r>
        <w:r w:rsidR="00DD3144">
          <w:rPr>
            <w:noProof/>
            <w:webHidden/>
          </w:rPr>
          <w:fldChar w:fldCharType="end"/>
        </w:r>
      </w:hyperlink>
    </w:p>
    <w:p w14:paraId="2672EAFF" w14:textId="529866F8"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925FD2">
          <w:rPr>
            <w:noProof/>
            <w:webHidden/>
          </w:rPr>
          <w:t>52</w:t>
        </w:r>
        <w:r w:rsidR="00DD3144">
          <w:rPr>
            <w:noProof/>
            <w:webHidden/>
          </w:rPr>
          <w:fldChar w:fldCharType="end"/>
        </w:r>
      </w:hyperlink>
    </w:p>
    <w:p w14:paraId="21AE00CB" w14:textId="5E486091"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925FD2">
          <w:rPr>
            <w:noProof/>
            <w:webHidden/>
          </w:rPr>
          <w:t>53</w:t>
        </w:r>
        <w:r w:rsidR="00DD3144">
          <w:rPr>
            <w:noProof/>
            <w:webHidden/>
          </w:rPr>
          <w:fldChar w:fldCharType="end"/>
        </w:r>
      </w:hyperlink>
    </w:p>
    <w:p w14:paraId="2B614284" w14:textId="2F52F281"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925FD2">
          <w:rPr>
            <w:noProof/>
            <w:webHidden/>
          </w:rPr>
          <w:t>54</w:t>
        </w:r>
        <w:r w:rsidR="00DD3144">
          <w:rPr>
            <w:noProof/>
            <w:webHidden/>
          </w:rPr>
          <w:fldChar w:fldCharType="end"/>
        </w:r>
      </w:hyperlink>
    </w:p>
    <w:p w14:paraId="4D418277" w14:textId="2E06939E"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925FD2">
          <w:rPr>
            <w:noProof/>
            <w:webHidden/>
          </w:rPr>
          <w:t>57</w:t>
        </w:r>
        <w:r w:rsidR="00DD3144">
          <w:rPr>
            <w:noProof/>
            <w:webHidden/>
          </w:rPr>
          <w:fldChar w:fldCharType="end"/>
        </w:r>
      </w:hyperlink>
    </w:p>
    <w:p w14:paraId="6536F821" w14:textId="0C943D2A"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925FD2">
          <w:rPr>
            <w:noProof/>
            <w:webHidden/>
          </w:rPr>
          <w:t>57</w:t>
        </w:r>
        <w:r w:rsidR="00DD3144">
          <w:rPr>
            <w:noProof/>
            <w:webHidden/>
          </w:rPr>
          <w:fldChar w:fldCharType="end"/>
        </w:r>
      </w:hyperlink>
    </w:p>
    <w:p w14:paraId="08D9EF38" w14:textId="19638FA0"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925FD2">
          <w:rPr>
            <w:noProof/>
            <w:webHidden/>
          </w:rPr>
          <w:t>62</w:t>
        </w:r>
        <w:r w:rsidR="00DD3144">
          <w:rPr>
            <w:noProof/>
            <w:webHidden/>
          </w:rPr>
          <w:fldChar w:fldCharType="end"/>
        </w:r>
      </w:hyperlink>
    </w:p>
    <w:p w14:paraId="2BBAFA08" w14:textId="09814A05"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925FD2">
          <w:rPr>
            <w:noProof/>
            <w:webHidden/>
          </w:rPr>
          <w:t>63</w:t>
        </w:r>
        <w:r w:rsidR="00DD3144">
          <w:rPr>
            <w:noProof/>
            <w:webHidden/>
          </w:rPr>
          <w:fldChar w:fldCharType="end"/>
        </w:r>
      </w:hyperlink>
    </w:p>
    <w:p w14:paraId="3F16D1B5" w14:textId="0C2107B8"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925FD2">
          <w:rPr>
            <w:noProof/>
            <w:webHidden/>
          </w:rPr>
          <w:t>65</w:t>
        </w:r>
        <w:r w:rsidR="00DD3144">
          <w:rPr>
            <w:noProof/>
            <w:webHidden/>
          </w:rPr>
          <w:fldChar w:fldCharType="end"/>
        </w:r>
      </w:hyperlink>
    </w:p>
    <w:p w14:paraId="6977ED8F" w14:textId="12CDD8C2"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925FD2">
          <w:rPr>
            <w:noProof/>
            <w:webHidden/>
          </w:rPr>
          <w:t>65</w:t>
        </w:r>
        <w:r w:rsidR="00DD3144">
          <w:rPr>
            <w:noProof/>
            <w:webHidden/>
          </w:rPr>
          <w:fldChar w:fldCharType="end"/>
        </w:r>
      </w:hyperlink>
    </w:p>
    <w:p w14:paraId="38E17ADD" w14:textId="13B4E8A8"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925FD2">
          <w:rPr>
            <w:noProof/>
            <w:webHidden/>
          </w:rPr>
          <w:t>69</w:t>
        </w:r>
        <w:r w:rsidR="00DD3144">
          <w:rPr>
            <w:noProof/>
            <w:webHidden/>
          </w:rPr>
          <w:fldChar w:fldCharType="end"/>
        </w:r>
      </w:hyperlink>
    </w:p>
    <w:p w14:paraId="3D334A0D" w14:textId="389FC773"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925FD2">
          <w:rPr>
            <w:noProof/>
            <w:webHidden/>
          </w:rPr>
          <w:t>72</w:t>
        </w:r>
        <w:r w:rsidR="00DD3144">
          <w:rPr>
            <w:noProof/>
            <w:webHidden/>
          </w:rPr>
          <w:fldChar w:fldCharType="end"/>
        </w:r>
      </w:hyperlink>
    </w:p>
    <w:p w14:paraId="73AC9F6C" w14:textId="4F802B3A"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925FD2">
          <w:rPr>
            <w:noProof/>
            <w:webHidden/>
          </w:rPr>
          <w:t>73</w:t>
        </w:r>
        <w:r w:rsidR="00DD3144">
          <w:rPr>
            <w:noProof/>
            <w:webHidden/>
          </w:rPr>
          <w:fldChar w:fldCharType="end"/>
        </w:r>
      </w:hyperlink>
    </w:p>
    <w:p w14:paraId="406CF61C" w14:textId="455E1BA0"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925FD2">
          <w:rPr>
            <w:noProof/>
            <w:webHidden/>
          </w:rPr>
          <w:t>75</w:t>
        </w:r>
        <w:r w:rsidR="00DD3144">
          <w:rPr>
            <w:noProof/>
            <w:webHidden/>
          </w:rPr>
          <w:fldChar w:fldCharType="end"/>
        </w:r>
      </w:hyperlink>
    </w:p>
    <w:p w14:paraId="2F2A5E06" w14:textId="0637F514"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925FD2">
          <w:rPr>
            <w:noProof/>
            <w:webHidden/>
          </w:rPr>
          <w:t>75</w:t>
        </w:r>
        <w:r w:rsidR="00DD3144">
          <w:rPr>
            <w:noProof/>
            <w:webHidden/>
          </w:rPr>
          <w:fldChar w:fldCharType="end"/>
        </w:r>
      </w:hyperlink>
    </w:p>
    <w:p w14:paraId="0765DB75" w14:textId="43275A07"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925FD2">
          <w:rPr>
            <w:noProof/>
            <w:webHidden/>
          </w:rPr>
          <w:t>81</w:t>
        </w:r>
        <w:r w:rsidR="00DD3144">
          <w:rPr>
            <w:noProof/>
            <w:webHidden/>
          </w:rPr>
          <w:fldChar w:fldCharType="end"/>
        </w:r>
      </w:hyperlink>
    </w:p>
    <w:p w14:paraId="69A0D1B9" w14:textId="6E89836A"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925FD2">
          <w:rPr>
            <w:noProof/>
            <w:webHidden/>
          </w:rPr>
          <w:t>83</w:t>
        </w:r>
        <w:r w:rsidR="00DD3144">
          <w:rPr>
            <w:noProof/>
            <w:webHidden/>
          </w:rPr>
          <w:fldChar w:fldCharType="end"/>
        </w:r>
      </w:hyperlink>
    </w:p>
    <w:p w14:paraId="599A8537" w14:textId="49ECB7E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925FD2">
          <w:rPr>
            <w:noProof/>
            <w:webHidden/>
          </w:rPr>
          <w:t>85</w:t>
        </w:r>
        <w:r w:rsidR="00DD3144">
          <w:rPr>
            <w:noProof/>
            <w:webHidden/>
          </w:rPr>
          <w:fldChar w:fldCharType="end"/>
        </w:r>
      </w:hyperlink>
    </w:p>
    <w:p w14:paraId="17F5751C" w14:textId="090CFEB4"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925FD2">
          <w:rPr>
            <w:noProof/>
            <w:webHidden/>
          </w:rPr>
          <w:t>89</w:t>
        </w:r>
        <w:r w:rsidR="00DD3144">
          <w:rPr>
            <w:noProof/>
            <w:webHidden/>
          </w:rPr>
          <w:fldChar w:fldCharType="end"/>
        </w:r>
      </w:hyperlink>
    </w:p>
    <w:p w14:paraId="3E9A7CC0" w14:textId="1376C231"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925FD2">
          <w:rPr>
            <w:noProof/>
            <w:webHidden/>
          </w:rPr>
          <w:t>91</w:t>
        </w:r>
        <w:r w:rsidR="00DD3144">
          <w:rPr>
            <w:noProof/>
            <w:webHidden/>
          </w:rPr>
          <w:fldChar w:fldCharType="end"/>
        </w:r>
      </w:hyperlink>
    </w:p>
    <w:p w14:paraId="47B0B9D3" w14:textId="1E3D692F"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925FD2">
          <w:rPr>
            <w:noProof/>
            <w:webHidden/>
          </w:rPr>
          <w:t>93</w:t>
        </w:r>
        <w:r w:rsidR="00DD3144">
          <w:rPr>
            <w:noProof/>
            <w:webHidden/>
          </w:rPr>
          <w:fldChar w:fldCharType="end"/>
        </w:r>
      </w:hyperlink>
    </w:p>
    <w:p w14:paraId="61D5B8F4" w14:textId="4CA5B9BA"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925FD2">
          <w:rPr>
            <w:noProof/>
            <w:webHidden/>
          </w:rPr>
          <w:t>93</w:t>
        </w:r>
        <w:r w:rsidR="00DD3144">
          <w:rPr>
            <w:noProof/>
            <w:webHidden/>
          </w:rPr>
          <w:fldChar w:fldCharType="end"/>
        </w:r>
      </w:hyperlink>
    </w:p>
    <w:p w14:paraId="5F2558A8" w14:textId="1649FEB4"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925FD2">
          <w:rPr>
            <w:noProof/>
            <w:webHidden/>
          </w:rPr>
          <w:t>97</w:t>
        </w:r>
        <w:r w:rsidR="00DD3144">
          <w:rPr>
            <w:noProof/>
            <w:webHidden/>
          </w:rPr>
          <w:fldChar w:fldCharType="end"/>
        </w:r>
      </w:hyperlink>
    </w:p>
    <w:p w14:paraId="36C71413" w14:textId="7FA6D5D7"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925FD2">
          <w:rPr>
            <w:noProof/>
            <w:webHidden/>
          </w:rPr>
          <w:t>100</w:t>
        </w:r>
        <w:r w:rsidR="00DD3144">
          <w:rPr>
            <w:noProof/>
            <w:webHidden/>
          </w:rPr>
          <w:fldChar w:fldCharType="end"/>
        </w:r>
      </w:hyperlink>
    </w:p>
    <w:p w14:paraId="0E59FE16" w14:textId="02BACA84"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925FD2">
          <w:rPr>
            <w:noProof/>
            <w:webHidden/>
          </w:rPr>
          <w:t>101</w:t>
        </w:r>
        <w:r w:rsidR="00DD3144">
          <w:rPr>
            <w:noProof/>
            <w:webHidden/>
          </w:rPr>
          <w:fldChar w:fldCharType="end"/>
        </w:r>
      </w:hyperlink>
    </w:p>
    <w:p w14:paraId="2D755C06" w14:textId="076FD3BD"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925FD2">
          <w:rPr>
            <w:noProof/>
            <w:webHidden/>
          </w:rPr>
          <w:t>101</w:t>
        </w:r>
        <w:r w:rsidR="00DD3144">
          <w:rPr>
            <w:noProof/>
            <w:webHidden/>
          </w:rPr>
          <w:fldChar w:fldCharType="end"/>
        </w:r>
      </w:hyperlink>
    </w:p>
    <w:p w14:paraId="0A581758" w14:textId="610C796C"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925FD2">
          <w:rPr>
            <w:noProof/>
            <w:webHidden/>
          </w:rPr>
          <w:t>109</w:t>
        </w:r>
        <w:r w:rsidR="00DD3144">
          <w:rPr>
            <w:noProof/>
            <w:webHidden/>
          </w:rPr>
          <w:fldChar w:fldCharType="end"/>
        </w:r>
      </w:hyperlink>
    </w:p>
    <w:p w14:paraId="7084312E" w14:textId="74D81C23"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925FD2">
          <w:rPr>
            <w:noProof/>
            <w:webHidden/>
          </w:rPr>
          <w:t>110</w:t>
        </w:r>
        <w:r w:rsidR="00DD3144">
          <w:rPr>
            <w:noProof/>
            <w:webHidden/>
          </w:rPr>
          <w:fldChar w:fldCharType="end"/>
        </w:r>
      </w:hyperlink>
    </w:p>
    <w:p w14:paraId="1A5FA3FB" w14:textId="54758A15"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925FD2">
          <w:rPr>
            <w:noProof/>
            <w:webHidden/>
          </w:rPr>
          <w:t>111</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CB00E2" w:rsidR="00093CA9" w:rsidRDefault="002F25F6" w:rsidP="00093CA9">
            <w:r w:rsidRPr="002F25F6">
              <w:t>Cleary Gottlieb Steen &amp; Hamilton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7A22B2E" w:rsidR="00093CA9" w:rsidRDefault="00965F2B" w:rsidP="00093CA9">
            <w:r w:rsidRPr="00965F2B">
              <w:t>Directive 2009/138/EC of the European Parliament and of the Council of 25 November 2009 on the taking-up and pursuit of the business of insurance and reinsurance (“Solvency II")</w:t>
            </w:r>
            <w:r w:rsidR="00925FD2">
              <w:t>.</w:t>
            </w:r>
            <w:r w:rsidRPr="00965F2B">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D769308" w:rsidR="00093CA9" w:rsidRDefault="00000000" w:rsidP="00093CA9">
            <w:hyperlink r:id="rId17" w:history="1">
              <w:r w:rsidR="00D645ED" w:rsidRPr="00D645ED">
                <w:rPr>
                  <w:rStyle w:val="Hyperlink"/>
                </w:rPr>
                <w:t>Directive Solvency II</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856CC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FAB2952" w:rsidR="00093CA9" w:rsidRDefault="00AE746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A2F42E8" w14:textId="77777777" w:rsidR="00093CA9" w:rsidRDefault="005B55D3" w:rsidP="005B55D3">
            <w:pPr>
              <w:jc w:val="both"/>
            </w:pPr>
            <w:r w:rsidRPr="005B55D3">
              <w:t>Directive 2009/138/EC on insurance and reinsurance (Solvency II) is a comprehensive prudential regulatory framework that harmonizes the supervision of insurance and reinsurance undertakings across the European Union</w:t>
            </w:r>
            <w:r>
              <w:t>.</w:t>
            </w:r>
          </w:p>
          <w:p w14:paraId="413EF934" w14:textId="38129957" w:rsidR="005B55D3" w:rsidRDefault="005B55D3" w:rsidP="005B55D3">
            <w:pPr>
              <w:jc w:val="both"/>
            </w:pPr>
            <w:r w:rsidRPr="005B55D3">
              <w:t>The primary objective of supervision under Solvency II is the protection of policyholders and beneficiaries. The directive also aims to:</w:t>
            </w:r>
            <w:r>
              <w:t xml:space="preserve"> (i) ensure the financial stability of the European insurance system, (ii) establish a single insurance market with harmonized rules, (iii) implement supervision based on a prospective and risk-based approach and </w:t>
            </w:r>
            <w:r w:rsidR="00892C3F">
              <w:t xml:space="preserve">(iv) </w:t>
            </w:r>
            <w:r>
              <w:t>consider the proportionality principle based on the nature, scale and complexity of risks.</w:t>
            </w:r>
          </w:p>
          <w:p w14:paraId="482CCCD7" w14:textId="77777777" w:rsidR="005B55D3" w:rsidRDefault="005B55D3" w:rsidP="005B55D3">
            <w:pPr>
              <w:jc w:val="both"/>
            </w:pPr>
            <w:r w:rsidRPr="005B55D3">
              <w:t>Solvency II establishes a comprehensive prudential framework for insurance and reinsurance undertakings, including:</w:t>
            </w:r>
            <w:r>
              <w:t xml:space="preserve"> risk-based capital requirements, valuation rules, governance and risk management requirements,</w:t>
            </w:r>
            <w:r w:rsidR="007A3D7B">
              <w:t xml:space="preserve"> </w:t>
            </w:r>
            <w:r>
              <w:t>supervisory review process, reporting</w:t>
            </w:r>
            <w:r w:rsidR="007A3D7B">
              <w:t xml:space="preserve">, </w:t>
            </w:r>
            <w:r>
              <w:t>disclosure requirements</w:t>
            </w:r>
            <w:r w:rsidR="007A3D7B">
              <w:t xml:space="preserve">, </w:t>
            </w:r>
            <w:r>
              <w:t>group supervision</w:t>
            </w:r>
            <w:r w:rsidR="007A3D7B">
              <w:t xml:space="preserve"> and prudent person principle.</w:t>
            </w:r>
          </w:p>
          <w:p w14:paraId="18257824" w14:textId="652DA80A" w:rsidR="00755A68" w:rsidRDefault="008E763C" w:rsidP="005B55D3">
            <w:pPr>
              <w:jc w:val="both"/>
            </w:pPr>
            <w:r w:rsidRPr="00F67B1E">
              <w:rPr>
                <w:color w:val="000000" w:themeColor="text1"/>
              </w:rPr>
              <w:t>Directive (EU) 2025/2, which entered into force in January 2025</w:t>
            </w:r>
            <w:r>
              <w:rPr>
                <w:color w:val="000000" w:themeColor="text1"/>
              </w:rPr>
              <w:t xml:space="preserve">, amends </w:t>
            </w:r>
            <w:r w:rsidRPr="00F67B1E">
              <w:rPr>
                <w:color w:val="000000" w:themeColor="text1"/>
              </w:rPr>
              <w:t>Solvency II and formally requires insurers to incorporate climate and ESG risks into their governance, risk management, and investment policies. It also introduces enhanced transparency obligations on how insurers identify, assess, and manage sustainability risks, making ESG considerations a central part of the Own Risk and Solvency Assessment (ORSA) and public reporting processes</w:t>
            </w:r>
            <w:r w:rsidR="008910E3">
              <w:rPr>
                <w:color w:val="000000" w:themeColor="text1"/>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5A01713" w:rsidR="00093CA9" w:rsidRDefault="00D645E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73E24E5" w:rsidR="00093CA9" w:rsidRPr="00827E0D" w:rsidRDefault="00D645ED" w:rsidP="00093CA9">
            <w:pPr>
              <w:rPr>
                <w:color w:val="000000" w:themeColor="text1"/>
              </w:rPr>
            </w:pPr>
            <w:r w:rsidRPr="00827E0D">
              <w:rPr>
                <w:color w:val="000000" w:themeColor="text1"/>
              </w:rPr>
              <w:t>2009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14ED8572" w14:textId="53113A34" w:rsidR="00093CA9" w:rsidRPr="00827E0D" w:rsidRDefault="00D645ED" w:rsidP="00093CA9">
            <w:pPr>
              <w:rPr>
                <w:color w:val="000000" w:themeColor="text1"/>
              </w:rPr>
            </w:pPr>
            <w:r w:rsidRPr="00827E0D">
              <w:rPr>
                <w:color w:val="000000" w:themeColor="text1"/>
              </w:rPr>
              <w:t>Year of entry into force: 2014</w:t>
            </w:r>
          </w:p>
          <w:p w14:paraId="5AD2325B" w14:textId="0F2E39A7" w:rsidR="00D645ED" w:rsidRPr="00827E0D" w:rsidRDefault="00D645ED" w:rsidP="00093CA9">
            <w:pPr>
              <w:rPr>
                <w:color w:val="000000" w:themeColor="text1"/>
              </w:rPr>
            </w:pPr>
            <w:r w:rsidRPr="00827E0D">
              <w:rPr>
                <w:color w:val="000000" w:themeColor="text1"/>
              </w:rPr>
              <w:t xml:space="preserve">Year of effective </w:t>
            </w:r>
            <w:r w:rsidR="00827E0D" w:rsidRPr="00827E0D">
              <w:rPr>
                <w:color w:val="000000" w:themeColor="text1"/>
              </w:rPr>
              <w:t>application</w:t>
            </w:r>
            <w:r w:rsidRPr="00827E0D">
              <w:rPr>
                <w:color w:val="000000" w:themeColor="text1"/>
              </w:rPr>
              <w:t>: 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3E7521D" w:rsidR="00093CA9" w:rsidRPr="00587FAE" w:rsidRDefault="00F67B1E" w:rsidP="00A41DD2">
            <w:pPr>
              <w:jc w:val="both"/>
              <w:rPr>
                <w:color w:val="000000" w:themeColor="text1"/>
              </w:rPr>
            </w:pPr>
            <w:r w:rsidRPr="00F67B1E">
              <w:rPr>
                <w:color w:val="000000" w:themeColor="text1"/>
              </w:rPr>
              <w:t>The Solvency II Directive is subject to frequent revisions to keep pace with changes in financial markets, lessons from its implementation, new risks, and shifting EU priorities.</w:t>
            </w:r>
            <w:r>
              <w:rPr>
                <w:color w:val="000000" w:themeColor="text1"/>
              </w:rPr>
              <w:t xml:space="preserve"> </w:t>
            </w:r>
            <w:r w:rsidRPr="00F67B1E">
              <w:rPr>
                <w:color w:val="000000" w:themeColor="text1"/>
              </w:rPr>
              <w:t>The most significant update regarding Environmental, Social, and Governance (ESG) factors was introduced by Directive (EU) 2025/2, which entered into force in January 2025. This directive substantially amends Directive 2009/138/EC (Solvency II) and formally requires insurers to incorporate climate and ESG risks into their governance, risk management, and investment policies. It also introduces enhanced transparency obligations on how insurers identify, assess, and manage sustainability risks, making ESG considerations a central part of the Own Risk and Solvency Assessment (ORSA) and public reporting processes.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162B776" w:rsidR="00093CA9" w:rsidRDefault="00D645ED"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24B0B0E9" w14:textId="77777777" w:rsidR="007A3D7B" w:rsidRDefault="007A3D7B" w:rsidP="00892C3F">
            <w:pPr>
              <w:jc w:val="both"/>
            </w:pPr>
            <w:r>
              <w:t xml:space="preserve">At supranational level, the European Insurance and Occupational Pensions Authority (EIOPA) </w:t>
            </w:r>
            <w:r w:rsidRPr="007A3D7B">
              <w:t>is the main authority at the supranational level responsible for</w:t>
            </w:r>
            <w:r>
              <w:t xml:space="preserve"> overseeing implementation and the enforcement of Solvency II.</w:t>
            </w:r>
            <w:r w:rsidR="00892C3F">
              <w:t xml:space="preserve"> </w:t>
            </w:r>
          </w:p>
          <w:p w14:paraId="58D97C26" w14:textId="1E9BC4E5" w:rsidR="008E763C" w:rsidRPr="006B7B0D" w:rsidRDefault="006947F6" w:rsidP="00892C3F">
            <w:pPr>
              <w:jc w:val="both"/>
            </w:pPr>
            <w:r>
              <w:t xml:space="preserve">Specifically, </w:t>
            </w:r>
            <w:r w:rsidRPr="006947F6">
              <w:t>EIOPA published an opinion on sustainability within Solvency II in 2019, setting out how to integrate sustainability criteria. EIOPA also produces regular reports on the integration of ESG risks into insurers' governance and risk management systems.</w:t>
            </w:r>
            <w:r w:rsidR="008E763C">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9928063" w:rsidR="00093CA9" w:rsidRPr="006B7B0D" w:rsidRDefault="00755A68"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3454483B" w:rsidR="00093CA9" w:rsidRPr="006B7B0D" w:rsidRDefault="00755A68"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892C3F">
        <w:trPr>
          <w:trHeight w:val="406"/>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9BB215A"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lastRenderedPageBreak/>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AFB2EF8" w:rsidR="00093CA9" w:rsidRDefault="00C1249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892C3F">
        <w:trPr>
          <w:trHeight w:val="1335"/>
        </w:trPr>
        <w:tc>
          <w:tcPr>
            <w:tcW w:w="1063" w:type="dxa"/>
            <w:vAlign w:val="center"/>
          </w:tcPr>
          <w:p w14:paraId="08EDF6C9" w14:textId="77777777" w:rsidR="00093CA9" w:rsidRDefault="00093CA9" w:rsidP="00093CA9"/>
        </w:tc>
        <w:tc>
          <w:tcPr>
            <w:tcW w:w="9169" w:type="dxa"/>
            <w:gridSpan w:val="4"/>
            <w:shd w:val="clear" w:color="auto" w:fill="auto"/>
            <w:vAlign w:val="center"/>
          </w:tcPr>
          <w:p w14:paraId="0880F6B0" w14:textId="2E2F3FEE" w:rsidR="00892C3F" w:rsidRDefault="00892C3F" w:rsidP="00892C3F">
            <w:pPr>
              <w:keepNext/>
              <w:jc w:val="both"/>
            </w:pPr>
            <w:r>
              <w:t>Solvency II implements a multi-tiered monitoring and reporting system for insurance and reinsurance undertakings in the EU. Key features include:</w:t>
            </w:r>
          </w:p>
          <w:p w14:paraId="7A951D28" w14:textId="77777777" w:rsidR="00892C3F" w:rsidRDefault="00892C3F" w:rsidP="00892C3F">
            <w:pPr>
              <w:pStyle w:val="ListParagraph"/>
              <w:keepNext/>
              <w:numPr>
                <w:ilvl w:val="0"/>
                <w:numId w:val="51"/>
              </w:numPr>
              <w:jc w:val="both"/>
            </w:pPr>
            <w:r>
              <w:t>Regular supervisory reporting: annual submissions with quarterly updates for certain information.</w:t>
            </w:r>
          </w:p>
          <w:p w14:paraId="369BD228" w14:textId="54BBCFD0" w:rsidR="00892C3F" w:rsidRDefault="00892C3F" w:rsidP="00892C3F">
            <w:pPr>
              <w:pStyle w:val="ListParagraph"/>
              <w:keepNext/>
              <w:numPr>
                <w:ilvl w:val="0"/>
                <w:numId w:val="51"/>
              </w:numPr>
              <w:jc w:val="both"/>
            </w:pPr>
            <w:r>
              <w:t>Public disclosure: annual solvency and financial condition reports (SFCR).</w:t>
            </w:r>
          </w:p>
          <w:p w14:paraId="773B137C" w14:textId="77777777" w:rsidR="00892C3F" w:rsidRDefault="00892C3F" w:rsidP="00892C3F">
            <w:pPr>
              <w:pStyle w:val="ListParagraph"/>
              <w:keepNext/>
              <w:numPr>
                <w:ilvl w:val="0"/>
                <w:numId w:val="51"/>
              </w:numPr>
              <w:jc w:val="both"/>
            </w:pPr>
            <w:r>
              <w:t>EIOPA oversight: annual reports to the European Parliament and quarterly technical information publications.</w:t>
            </w:r>
          </w:p>
          <w:p w14:paraId="2595CE98" w14:textId="77777777" w:rsidR="00892C3F" w:rsidRDefault="00892C3F" w:rsidP="00892C3F">
            <w:pPr>
              <w:pStyle w:val="ListParagraph"/>
              <w:keepNext/>
              <w:numPr>
                <w:ilvl w:val="0"/>
                <w:numId w:val="51"/>
              </w:numPr>
              <w:jc w:val="both"/>
            </w:pPr>
            <w:r>
              <w:t>Supervisory authority disclosures: information on capital add-ons and reporting exemptions.</w:t>
            </w:r>
          </w:p>
          <w:p w14:paraId="612D604A" w14:textId="4FE471EB" w:rsidR="00892C3F" w:rsidRDefault="00892C3F" w:rsidP="00892C3F">
            <w:pPr>
              <w:pStyle w:val="ListParagraph"/>
              <w:keepNext/>
              <w:numPr>
                <w:ilvl w:val="0"/>
                <w:numId w:val="51"/>
              </w:numPr>
              <w:jc w:val="both"/>
            </w:pPr>
            <w:r>
              <w:t xml:space="preserve">Member State transparency: </w:t>
            </w:r>
            <w:r w:rsidR="008F28C7">
              <w:t>d</w:t>
            </w:r>
            <w:r>
              <w:t>isclosure of laws, supervisory methods, and statistical data.</w:t>
            </w:r>
          </w:p>
          <w:p w14:paraId="2C2128DB" w14:textId="4D1D4356" w:rsidR="00C12491" w:rsidRPr="008371EA" w:rsidRDefault="00892C3F" w:rsidP="00B11C7A">
            <w:pPr>
              <w:pStyle w:val="ListParagraph"/>
              <w:keepNext/>
              <w:numPr>
                <w:ilvl w:val="0"/>
                <w:numId w:val="51"/>
              </w:numPr>
              <w:jc w:val="both"/>
            </w:pPr>
            <w:r>
              <w:t xml:space="preserve">Commission reviews: </w:t>
            </w:r>
            <w:r w:rsidR="008F28C7">
              <w:t>r</w:t>
            </w:r>
            <w:r>
              <w:t>egular assessments of standard formula methods and third-country equivalence.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55A6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366C" w:rsidRDefault="00107CE2" w:rsidP="00DD3144">
            <w:pPr>
              <w:rPr>
                <w:lang w:val="fr-FR"/>
              </w:rPr>
            </w:pPr>
            <w:r w:rsidRPr="0035366C">
              <w:rPr>
                <w:lang w:val="fr-FR"/>
              </w:rPr>
              <w:t>Minimum revenue (Enter minimum revenue)</w:t>
            </w:r>
          </w:p>
        </w:tc>
        <w:tc>
          <w:tcPr>
            <w:tcW w:w="4910" w:type="dxa"/>
            <w:gridSpan w:val="7"/>
            <w:shd w:val="clear" w:color="auto" w:fill="auto"/>
            <w:vAlign w:val="center"/>
          </w:tcPr>
          <w:p w14:paraId="2518BD70" w14:textId="77777777" w:rsidR="00524D54" w:rsidRPr="0035366C"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755A68"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35366C" w:rsidRDefault="00B0479E" w:rsidP="00DD3144">
            <w:pPr>
              <w:rPr>
                <w:lang w:val="fr-FR"/>
              </w:rPr>
            </w:pPr>
            <w:r w:rsidRPr="0035366C">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35366C"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55A6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5366C" w:rsidRDefault="004F276F" w:rsidP="00C37D48">
            <w:pPr>
              <w:rPr>
                <w:rFonts w:ascii="Calibri" w:hAnsi="Calibri" w:cs="Calibri"/>
                <w:lang w:val="fr-FR"/>
              </w:rPr>
            </w:pPr>
            <w:r w:rsidRPr="0035366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5366C"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755A6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5366C" w:rsidRDefault="003A2E5E" w:rsidP="00C37D48">
            <w:pPr>
              <w:rPr>
                <w:rFonts w:ascii="Calibri" w:hAnsi="Calibri" w:cs="Calibri"/>
                <w:lang w:val="fr-FR"/>
              </w:rPr>
            </w:pPr>
            <w:r w:rsidRPr="0035366C">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35366C"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55A6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5366C" w:rsidRDefault="00C66EE0" w:rsidP="00610F28">
            <w:pPr>
              <w:rPr>
                <w:rFonts w:ascii="Calibri" w:hAnsi="Calibri" w:cs="Calibri"/>
                <w:lang w:val="fr-FR"/>
              </w:rPr>
            </w:pPr>
            <w:r w:rsidRPr="0035366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5366C"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55A6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5366C" w:rsidRDefault="00092534" w:rsidP="00CF2E7C">
            <w:pPr>
              <w:rPr>
                <w:rFonts w:ascii="Calibri" w:hAnsi="Calibri" w:cs="Calibri"/>
                <w:lang w:val="fr-FR"/>
              </w:rPr>
            </w:pPr>
            <w:r w:rsidRPr="0035366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5366C"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6AEC24E6" w:rsidR="00D4323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050713D"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2914D102" w:rsidR="00D4323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EA2F4C6"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8F5105E" w:rsidR="00D4323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0C81B44D"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E544127" w:rsidR="00D4323A" w:rsidRPr="00CF2E7C" w:rsidRDefault="0035366C"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6C9516E2" w:rsidR="00D4323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33427E53" w:rsidR="0035366C" w:rsidRPr="00CF2E7C" w:rsidRDefault="0035366C" w:rsidP="0035366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BEEBFCF" w:rsidR="00D4323A" w:rsidRPr="00CF2E7C" w:rsidRDefault="0035366C"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1415093" w:rsidR="00D4323A" w:rsidRPr="00CF2E7C" w:rsidRDefault="0035366C"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1BCF24B" w:rsidR="00D4323A" w:rsidRPr="00CF2E7C" w:rsidRDefault="0035366C"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8A7E762" w:rsidR="00D4323A" w:rsidRPr="00CF2E7C" w:rsidRDefault="0035366C"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C648706" w:rsidR="00D4323A" w:rsidRPr="00CF2E7C" w:rsidRDefault="0035366C"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79CDBA7" w:rsidR="00D4323A" w:rsidRPr="00CF2E7C" w:rsidRDefault="0035366C"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7A373DB" w:rsidR="00D4323A" w:rsidRPr="00CF2E7C" w:rsidRDefault="0035366C"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B6803C4" w:rsidR="00D4323A" w:rsidRPr="00CF2E7C" w:rsidRDefault="007D35D2"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925FD2">
        <w:trPr>
          <w:trHeight w:val="434"/>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563BAEE0" w:rsidR="00DD292A" w:rsidRPr="00CF2E7C" w:rsidRDefault="0035366C"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lastRenderedPageBreak/>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AB0ABEE" w:rsidR="00DD292A" w:rsidRPr="00CF2E7C" w:rsidRDefault="0035366C"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6ECD1DB" w:rsidR="00DD292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6C09A28" w:rsidR="00DD292A" w:rsidRPr="00CF2E7C" w:rsidRDefault="0035366C"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55E6E26C" w:rsidR="00DD292A" w:rsidRPr="00CF2E7C" w:rsidRDefault="0035366C"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10657895" w:rsidR="00DD292A" w:rsidRPr="00CF2E7C" w:rsidRDefault="007D35D2"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925FD2">
        <w:trPr>
          <w:trHeight w:val="63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5039CCB4" w:rsidR="00DD292A" w:rsidRPr="00CF2E7C" w:rsidRDefault="0035366C"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546EF7EC" w:rsidR="00DD292A" w:rsidRPr="00CF2E7C" w:rsidRDefault="0035366C"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4029ED1B" w:rsidR="00DD292A" w:rsidRPr="00CF2E7C" w:rsidRDefault="0035366C"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2379EC84" w:rsidR="00DD292A" w:rsidRPr="00CF2E7C" w:rsidRDefault="0035366C"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17735747" w:rsidR="00DD292A" w:rsidRPr="00CF2E7C" w:rsidRDefault="0035366C"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EE7F1AB" w:rsidR="00DD292A" w:rsidRPr="00CF2E7C" w:rsidRDefault="0035366C"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32F13C5" w:rsidR="00DD292A" w:rsidRPr="00CF2E7C" w:rsidRDefault="0035366C"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01666ED" w:rsidR="00DD292A" w:rsidRPr="00CF2E7C" w:rsidRDefault="0035366C"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16775D54" w:rsidR="00DD292A" w:rsidRPr="00CF2E7C" w:rsidRDefault="0035366C"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C442113" w:rsidR="00DD292A" w:rsidRPr="00CF2E7C" w:rsidRDefault="0035366C"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58926AC" w:rsidR="00DD292A" w:rsidRPr="00CF2E7C" w:rsidRDefault="0035366C"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5CB5D3A1" w:rsidR="00DD292A" w:rsidRPr="00CF2E7C" w:rsidRDefault="0035366C"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684BFE6" w:rsidR="00DD292A" w:rsidRPr="00CF2E7C" w:rsidRDefault="0035366C"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DC2B06C" w:rsidR="00DD292A" w:rsidRPr="00CF2E7C" w:rsidRDefault="0035366C"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lastRenderedPageBreak/>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0F6FF37" w:rsidR="00DD292A" w:rsidRPr="00CF2E7C" w:rsidRDefault="0035366C"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EA9D50A" w:rsidR="00DD292A" w:rsidRPr="00CF2E7C" w:rsidRDefault="0035366C"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45EEEB2" w:rsidR="00DD292A" w:rsidRPr="00CF2E7C" w:rsidRDefault="0035366C"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8F80B7D" w:rsidR="00DD292A" w:rsidRPr="00CF2E7C" w:rsidRDefault="0035366C"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3EDD98AC" w:rsidR="00DD292A" w:rsidRPr="00CF2E7C" w:rsidRDefault="0035366C"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636C54A" w:rsidR="00DD292A" w:rsidRPr="00CF2E7C" w:rsidRDefault="0035366C"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E3B9AAD" w:rsidR="00DD292A" w:rsidRPr="00CF2E7C" w:rsidRDefault="0035366C"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57063761" w:rsidR="00DD292A" w:rsidRPr="00CF2E7C" w:rsidRDefault="007D35D2"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23504A11" w:rsidR="00DD292A" w:rsidRPr="00CF2E7C" w:rsidRDefault="007D35D2" w:rsidP="00CF2E7C">
            <w:pPr>
              <w:rPr>
                <w:rFonts w:ascii="Calibri" w:hAnsi="Calibri" w:cs="Calibri"/>
              </w:rPr>
            </w:pPr>
            <w:r w:rsidRPr="00CF2E7C">
              <w:rPr>
                <w:rFonts w:ascii="Calibri" w:hAnsi="Calibri" w:cs="Calibri"/>
              </w:rPr>
              <w:t>Publicly-traded entities</w:t>
            </w:r>
            <w:r>
              <w:rPr>
                <w:rFonts w:ascii="Calibri" w:hAnsi="Calibri" w:cs="Calibri"/>
              </w:rPr>
              <w:t xml:space="preserve"> (5.1.1), private companies (5.1.2) and s</w:t>
            </w:r>
            <w:r w:rsidRPr="00CF2E7C">
              <w:rPr>
                <w:rFonts w:ascii="Calibri" w:hAnsi="Calibri" w:cs="Calibri"/>
              </w:rPr>
              <w:t>tate-owned companies</w:t>
            </w:r>
            <w:r>
              <w:rPr>
                <w:rFonts w:ascii="Calibri" w:hAnsi="Calibri" w:cs="Calibri"/>
              </w:rPr>
              <w:t xml:space="preserve"> (5.1.5) are t</w:t>
            </w:r>
            <w:r w:rsidRPr="007D35D2">
              <w:rPr>
                <w:rFonts w:ascii="Calibri" w:hAnsi="Calibri" w:cs="Calibri"/>
              </w:rPr>
              <w:t>argeted only if they are insurance or reinsurance undertakings.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38B7AED9" w:rsidR="00DD292A" w:rsidRPr="007D35D2" w:rsidRDefault="00DD292A" w:rsidP="000347E3">
            <w:pPr>
              <w:jc w:val="both"/>
              <w:rPr>
                <w:rFonts w:ascii="Calibri" w:hAnsi="Calibri" w:cs="Calibri"/>
                <w:highlight w:val="yellow"/>
              </w:rPr>
            </w:pPr>
          </w:p>
        </w:tc>
      </w:tr>
      <w:tr w:rsidR="00DD292A" w:rsidRPr="00755A6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5366C" w:rsidRDefault="00DD292A" w:rsidP="00CF2E7C">
            <w:pPr>
              <w:rPr>
                <w:rFonts w:ascii="Calibri" w:hAnsi="Calibri" w:cs="Calibri"/>
                <w:lang w:val="fr-FR"/>
              </w:rPr>
            </w:pPr>
            <w:r w:rsidRPr="0035366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5366C"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BB9F5F8" w:rsidR="00DD292A" w:rsidRPr="001229CE" w:rsidRDefault="001229CE" w:rsidP="001229CE">
            <w:pPr>
              <w:jc w:val="both"/>
              <w:rPr>
                <w:rFonts w:ascii="Calibri" w:hAnsi="Calibri" w:cs="Calibri"/>
                <w:highlight w:val="yellow"/>
                <w:lang w:val="sv-SE"/>
              </w:rPr>
            </w:pPr>
            <w:r w:rsidRPr="001229CE">
              <w:rPr>
                <w:rFonts w:ascii="Calibri" w:hAnsi="Calibri" w:cs="Calibri"/>
                <w:lang w:val="sv-SE"/>
              </w:rPr>
              <w:t xml:space="preserve">The Directive is applicable to an insurance undertaking </w:t>
            </w:r>
            <w:r w:rsidR="00925FD2">
              <w:rPr>
                <w:rFonts w:ascii="Calibri" w:hAnsi="Calibri" w:cs="Calibri"/>
                <w:lang w:val="sv-SE"/>
              </w:rPr>
              <w:t>which</w:t>
            </w:r>
            <w:r w:rsidRPr="001229CE">
              <w:rPr>
                <w:rFonts w:ascii="Calibri" w:hAnsi="Calibri" w:cs="Calibri"/>
                <w:lang w:val="sv-SE"/>
              </w:rPr>
              <w:t xml:space="preserve"> the total of undertakings’s technical provisions, gross of the amounts recoverable from reinsurance contracts and special purpose vehicles does not exceed EUR </w:t>
            </w:r>
            <w:r w:rsidRPr="001229CE">
              <w:rPr>
                <w:rFonts w:ascii="Calibri" w:hAnsi="Calibri" w:cs="Calibri"/>
                <w:lang w:val="sv-SE"/>
              </w:rPr>
              <w:lastRenderedPageBreak/>
              <w:t>26.600.000. When the undertaking belongs to a group, the total of the technical provisions of the group defined as gross of the amounts recoverable from reinsurance contracts and special purpose vehicles shall not exceed EUR 26.600.000 (Art. 4 - Exclusion from scope due to size).</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0EA7B258" w:rsidR="00DD292A" w:rsidRPr="00CF2E7C" w:rsidRDefault="001229CE" w:rsidP="001229CE">
            <w:pPr>
              <w:jc w:val="both"/>
              <w:rPr>
                <w:rFonts w:ascii="Calibri" w:hAnsi="Calibri" w:cs="Calibri"/>
              </w:rPr>
            </w:pPr>
            <w:r w:rsidRPr="001229CE">
              <w:rPr>
                <w:rFonts w:ascii="Calibri" w:hAnsi="Calibri" w:cs="Calibri"/>
              </w:rPr>
              <w:t>Member States shall require that the head offices of insurance and</w:t>
            </w:r>
            <w:r>
              <w:rPr>
                <w:rFonts w:ascii="Calibri" w:hAnsi="Calibri" w:cs="Calibri"/>
              </w:rPr>
              <w:t xml:space="preserve"> </w:t>
            </w:r>
            <w:r w:rsidRPr="001229CE">
              <w:rPr>
                <w:rFonts w:ascii="Calibri" w:hAnsi="Calibri" w:cs="Calibri"/>
              </w:rPr>
              <w:t>reinsurance undertakings be situated in the same Member State as</w:t>
            </w:r>
            <w:r>
              <w:rPr>
                <w:rFonts w:ascii="Calibri" w:hAnsi="Calibri" w:cs="Calibri"/>
              </w:rPr>
              <w:t xml:space="preserve"> </w:t>
            </w:r>
            <w:r w:rsidRPr="001229CE">
              <w:rPr>
                <w:rFonts w:ascii="Calibri" w:hAnsi="Calibri" w:cs="Calibri"/>
              </w:rPr>
              <w:t>their registered offices</w:t>
            </w:r>
            <w:r>
              <w:rPr>
                <w:rFonts w:ascii="Calibri" w:hAnsi="Calibri" w:cs="Calibri"/>
              </w:rPr>
              <w:t xml:space="preserve"> (Art. 20 – Head office of insurance undertakings and reinsurance undertakings).</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9BB9F9B" w:rsidR="00DD292A" w:rsidRPr="00CF2E7C" w:rsidRDefault="00B11C7A" w:rsidP="00B11C7A">
            <w:pPr>
              <w:jc w:val="both"/>
              <w:rPr>
                <w:rFonts w:ascii="Calibri" w:hAnsi="Calibri" w:cs="Calibri"/>
              </w:rPr>
            </w:pPr>
            <w:r w:rsidRPr="00B11C7A">
              <w:rPr>
                <w:rFonts w:ascii="Calibri" w:hAnsi="Calibri" w:cs="Calibri"/>
                <w:lang w:val="sv-SE"/>
              </w:rPr>
              <w:t>The Directive is applicable to an insurance undertaking which annual gross written premium income is not exceeding EUR 5.400.000 for size-based exclusions (Art. 4 - Exclusion from scope due to size).</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52B0EA71" w:rsidR="00DD292A" w:rsidRPr="00CF2E7C" w:rsidRDefault="000347E3"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11C78523" w:rsidR="00DD3B33" w:rsidRPr="00CF2E7C" w:rsidRDefault="000347E3"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24BA821" w:rsidR="00DD3B33" w:rsidRPr="00CF2E7C" w:rsidRDefault="000347E3"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2E4B50AE" w:rsidR="00DD3B33" w:rsidRPr="00CF2E7C" w:rsidRDefault="000347E3" w:rsidP="00CF2E7C">
            <w:pPr>
              <w:rPr>
                <w:rFonts w:ascii="Calibri" w:hAnsi="Calibri" w:cs="Calibri"/>
              </w:rPr>
            </w:pPr>
            <w:r>
              <w:rPr>
                <w:rFonts w:ascii="Calibri" w:hAnsi="Calibri" w:cs="Calibri"/>
              </w:rPr>
              <w:t>X</w:t>
            </w: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A62E932" w:rsidR="00DD3B33" w:rsidRPr="00CF2E7C" w:rsidRDefault="000347E3"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38A3330F"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F21D03">
        <w:trPr>
          <w:trHeight w:val="505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4303AB9" w14:textId="45013183" w:rsidR="00773FFB" w:rsidRDefault="00773FFB" w:rsidP="00925FD2">
            <w:pPr>
              <w:spacing w:before="0"/>
              <w:rPr>
                <w:rFonts w:ascii="Calibri" w:hAnsi="Calibri" w:cs="Calibri"/>
              </w:rPr>
            </w:pPr>
            <w:r w:rsidRPr="00773FFB">
              <w:rPr>
                <w:rFonts w:ascii="Calibri" w:hAnsi="Calibri" w:cs="Calibri"/>
              </w:rPr>
              <w:t xml:space="preserve">The </w:t>
            </w:r>
            <w:r>
              <w:rPr>
                <w:rFonts w:ascii="Calibri" w:hAnsi="Calibri" w:cs="Calibri"/>
              </w:rPr>
              <w:t>D</w:t>
            </w:r>
            <w:r w:rsidRPr="00773FFB">
              <w:rPr>
                <w:rFonts w:ascii="Calibri" w:hAnsi="Calibri" w:cs="Calibri"/>
              </w:rPr>
              <w:t xml:space="preserve">irective </w:t>
            </w:r>
            <w:r>
              <w:rPr>
                <w:rFonts w:ascii="Calibri" w:hAnsi="Calibri" w:cs="Calibri"/>
              </w:rPr>
              <w:t>establishes</w:t>
            </w:r>
            <w:r w:rsidRPr="00773FFB">
              <w:rPr>
                <w:rFonts w:ascii="Calibri" w:hAnsi="Calibri" w:cs="Calibri"/>
              </w:rPr>
              <w:t>:</w:t>
            </w:r>
          </w:p>
          <w:p w14:paraId="68761C8B" w14:textId="2CFAA921" w:rsidR="00773FFB" w:rsidRDefault="00773FFB" w:rsidP="0092450D">
            <w:pPr>
              <w:pStyle w:val="ListParagraph"/>
              <w:numPr>
                <w:ilvl w:val="0"/>
                <w:numId w:val="50"/>
              </w:numPr>
              <w:jc w:val="both"/>
              <w:rPr>
                <w:rFonts w:ascii="Calibri" w:hAnsi="Calibri" w:cs="Calibri"/>
              </w:rPr>
            </w:pPr>
            <w:r>
              <w:rPr>
                <w:rFonts w:ascii="Calibri" w:hAnsi="Calibri" w:cs="Calibri"/>
              </w:rPr>
              <w:t>Monetary fine: s</w:t>
            </w:r>
            <w:r w:rsidRPr="00773FFB">
              <w:rPr>
                <w:rFonts w:ascii="Calibri" w:hAnsi="Calibri" w:cs="Calibri"/>
              </w:rPr>
              <w:t>upervisory authorities have power to impose administrative and financial measures</w:t>
            </w:r>
            <w:r>
              <w:rPr>
                <w:rFonts w:ascii="Calibri" w:hAnsi="Calibri" w:cs="Calibri"/>
              </w:rPr>
              <w:t xml:space="preserve"> (</w:t>
            </w:r>
            <w:r w:rsidR="0092450D">
              <w:rPr>
                <w:rFonts w:ascii="Calibri" w:hAnsi="Calibri" w:cs="Calibri"/>
              </w:rPr>
              <w:t>Art.</w:t>
            </w:r>
            <w:r w:rsidRPr="00773FFB">
              <w:rPr>
                <w:rFonts w:ascii="Calibri" w:hAnsi="Calibri" w:cs="Calibri"/>
              </w:rPr>
              <w:t xml:space="preserve"> 34</w:t>
            </w:r>
            <w:r>
              <w:rPr>
                <w:rFonts w:ascii="Calibri" w:hAnsi="Calibri" w:cs="Calibri"/>
              </w:rPr>
              <w:t xml:space="preserve"> - </w:t>
            </w:r>
            <w:r w:rsidRPr="00773FFB">
              <w:rPr>
                <w:rFonts w:ascii="Calibri" w:hAnsi="Calibri" w:cs="Calibri"/>
              </w:rPr>
              <w:t>General supervisory powers</w:t>
            </w:r>
            <w:r>
              <w:rPr>
                <w:rFonts w:ascii="Calibri" w:hAnsi="Calibri" w:cs="Calibri"/>
              </w:rPr>
              <w:t>).</w:t>
            </w:r>
          </w:p>
          <w:p w14:paraId="364AE5D3" w14:textId="5295B7D7" w:rsidR="00773FFB" w:rsidRDefault="00773FFB" w:rsidP="0092450D">
            <w:pPr>
              <w:pStyle w:val="ListParagraph"/>
              <w:numPr>
                <w:ilvl w:val="0"/>
                <w:numId w:val="50"/>
              </w:numPr>
              <w:jc w:val="both"/>
              <w:rPr>
                <w:rFonts w:ascii="Calibri" w:hAnsi="Calibri" w:cs="Calibri"/>
              </w:rPr>
            </w:pPr>
            <w:r w:rsidRPr="00773FFB">
              <w:rPr>
                <w:rFonts w:ascii="Calibri" w:hAnsi="Calibri" w:cs="Calibri"/>
              </w:rPr>
              <w:t>Restriction on business activities</w:t>
            </w:r>
            <w:r>
              <w:rPr>
                <w:rFonts w:ascii="Calibri" w:hAnsi="Calibri" w:cs="Calibri"/>
              </w:rPr>
              <w:t xml:space="preserve">: </w:t>
            </w:r>
            <w:r w:rsidR="00925FD2">
              <w:rPr>
                <w:rFonts w:ascii="Calibri" w:hAnsi="Calibri" w:cs="Calibri"/>
              </w:rPr>
              <w:t xml:space="preserve">possible restriction or prohibition on </w:t>
            </w:r>
            <w:r w:rsidRPr="00773FFB">
              <w:rPr>
                <w:rFonts w:ascii="Calibri" w:hAnsi="Calibri" w:cs="Calibri"/>
              </w:rPr>
              <w:t>free disposal of assets</w:t>
            </w:r>
            <w:r w:rsidR="0092450D">
              <w:rPr>
                <w:rFonts w:ascii="Calibri" w:hAnsi="Calibri" w:cs="Calibri"/>
              </w:rPr>
              <w:t xml:space="preserve"> (Art. 137</w:t>
            </w:r>
            <w:r w:rsidR="00F21D03">
              <w:rPr>
                <w:rFonts w:ascii="Calibri" w:hAnsi="Calibri" w:cs="Calibri"/>
              </w:rPr>
              <w:t xml:space="preserve"> - </w:t>
            </w:r>
            <w:r w:rsidR="00F21D03" w:rsidRPr="00F21D03">
              <w:rPr>
                <w:rFonts w:ascii="Calibri" w:hAnsi="Calibri" w:cs="Calibri"/>
              </w:rPr>
              <w:t>Non-Compliance with technical provisions</w:t>
            </w:r>
            <w:r w:rsidR="0092450D">
              <w:rPr>
                <w:rFonts w:ascii="Calibri" w:hAnsi="Calibri" w:cs="Calibri"/>
              </w:rPr>
              <w:t>)</w:t>
            </w:r>
            <w:r w:rsidR="00F21D03">
              <w:rPr>
                <w:rFonts w:ascii="Calibri" w:hAnsi="Calibri" w:cs="Calibri"/>
              </w:rPr>
              <w:t>, m</w:t>
            </w:r>
            <w:r w:rsidR="00F21D03" w:rsidRPr="00F21D03">
              <w:rPr>
                <w:rFonts w:ascii="Calibri" w:hAnsi="Calibri" w:cs="Calibri"/>
              </w:rPr>
              <w:t>andatory recovery plans for SCR non-compliance within 6 months</w:t>
            </w:r>
            <w:r w:rsidR="00F21D03">
              <w:rPr>
                <w:rFonts w:ascii="Calibri" w:hAnsi="Calibri" w:cs="Calibri"/>
              </w:rPr>
              <w:t xml:space="preserve"> (Art. 138 - </w:t>
            </w:r>
            <w:r w:rsidR="00F21D03" w:rsidRPr="00F21D03">
              <w:rPr>
                <w:rFonts w:ascii="Calibri" w:hAnsi="Calibri" w:cs="Calibri"/>
              </w:rPr>
              <w:t>Non-Compliance with the Solvency Capital Requirement</w:t>
            </w:r>
            <w:r w:rsidR="00F21D03">
              <w:rPr>
                <w:rFonts w:ascii="Calibri" w:hAnsi="Calibri" w:cs="Calibri"/>
              </w:rPr>
              <w:t>), s</w:t>
            </w:r>
            <w:r w:rsidR="00F21D03" w:rsidRPr="00F21D03">
              <w:rPr>
                <w:rFonts w:ascii="Calibri" w:hAnsi="Calibri" w:cs="Calibri"/>
              </w:rPr>
              <w:t xml:space="preserve">hort-term finance schemes for MCR non-compliance within 3 months </w:t>
            </w:r>
            <w:r w:rsidR="00F21D03">
              <w:rPr>
                <w:rFonts w:ascii="Calibri" w:hAnsi="Calibri" w:cs="Calibri"/>
              </w:rPr>
              <w:t xml:space="preserve">(Art. 139 - </w:t>
            </w:r>
            <w:r w:rsidR="00F21D03" w:rsidRPr="00F21D03">
              <w:rPr>
                <w:rFonts w:ascii="Calibri" w:hAnsi="Calibri" w:cs="Calibri"/>
              </w:rPr>
              <w:t>Non-Compliance with the Minimum Capital Requirement</w:t>
            </w:r>
            <w:r w:rsidR="00F21D03">
              <w:rPr>
                <w:rFonts w:ascii="Calibri" w:hAnsi="Calibri" w:cs="Calibri"/>
              </w:rPr>
              <w:t xml:space="preserve">) </w:t>
            </w:r>
            <w:r w:rsidR="0092450D">
              <w:rPr>
                <w:rFonts w:ascii="Calibri" w:hAnsi="Calibri" w:cs="Calibri"/>
              </w:rPr>
              <w:t>or preventive and corrective measures (Art.</w:t>
            </w:r>
            <w:r w:rsidR="0092450D" w:rsidRPr="00773FFB">
              <w:rPr>
                <w:rFonts w:ascii="Calibri" w:hAnsi="Calibri" w:cs="Calibri"/>
              </w:rPr>
              <w:t xml:space="preserve"> 34</w:t>
            </w:r>
            <w:r w:rsidR="0092450D">
              <w:rPr>
                <w:rFonts w:ascii="Calibri" w:hAnsi="Calibri" w:cs="Calibri"/>
              </w:rPr>
              <w:t xml:space="preserve"> - </w:t>
            </w:r>
            <w:r w:rsidR="0092450D" w:rsidRPr="00773FFB">
              <w:rPr>
                <w:rFonts w:ascii="Calibri" w:hAnsi="Calibri" w:cs="Calibri"/>
              </w:rPr>
              <w:t>General supervisory powers</w:t>
            </w:r>
            <w:r w:rsidR="0092450D">
              <w:rPr>
                <w:rFonts w:ascii="Calibri" w:hAnsi="Calibri" w:cs="Calibri"/>
              </w:rPr>
              <w:t>).</w:t>
            </w:r>
          </w:p>
          <w:p w14:paraId="1EAB3395" w14:textId="3E5AC347" w:rsidR="0092450D" w:rsidRDefault="0092450D" w:rsidP="0092450D">
            <w:pPr>
              <w:pStyle w:val="ListParagraph"/>
              <w:numPr>
                <w:ilvl w:val="0"/>
                <w:numId w:val="50"/>
              </w:numPr>
              <w:jc w:val="both"/>
              <w:rPr>
                <w:rFonts w:ascii="Calibri" w:hAnsi="Calibri" w:cs="Calibri"/>
              </w:rPr>
            </w:pPr>
            <w:r>
              <w:rPr>
                <w:rFonts w:ascii="Calibri" w:hAnsi="Calibri" w:cs="Calibri"/>
              </w:rPr>
              <w:t>Exclusion from government contracts: a</w:t>
            </w:r>
            <w:r w:rsidRPr="0092450D">
              <w:rPr>
                <w:rFonts w:ascii="Calibri" w:hAnsi="Calibri" w:cs="Calibri"/>
              </w:rPr>
              <w:t>uthorization may be withdrawn</w:t>
            </w:r>
            <w:r>
              <w:rPr>
                <w:rFonts w:ascii="Calibri" w:hAnsi="Calibri" w:cs="Calibri"/>
              </w:rPr>
              <w:t xml:space="preserve"> </w:t>
            </w:r>
            <w:r w:rsidR="00F21D03" w:rsidRPr="00F21D03">
              <w:rPr>
                <w:rFonts w:ascii="Calibri" w:hAnsi="Calibri" w:cs="Calibri"/>
              </w:rPr>
              <w:t>for serious failures in obligations</w:t>
            </w:r>
            <w:r w:rsidR="00F21D03">
              <w:rPr>
                <w:rFonts w:ascii="Calibri" w:hAnsi="Calibri" w:cs="Calibri"/>
              </w:rPr>
              <w:t xml:space="preserve"> </w:t>
            </w:r>
            <w:r>
              <w:rPr>
                <w:rFonts w:ascii="Calibri" w:hAnsi="Calibri" w:cs="Calibri"/>
              </w:rPr>
              <w:t xml:space="preserve">(Art. 144 - </w:t>
            </w:r>
            <w:r w:rsidRPr="0092450D">
              <w:rPr>
                <w:rFonts w:ascii="Calibri" w:hAnsi="Calibri" w:cs="Calibri"/>
              </w:rPr>
              <w:t>Withdrawal of authorisation</w:t>
            </w:r>
            <w:r>
              <w:rPr>
                <w:rFonts w:ascii="Calibri" w:hAnsi="Calibri" w:cs="Calibri"/>
              </w:rPr>
              <w:t>).</w:t>
            </w:r>
          </w:p>
          <w:p w14:paraId="07EA54C9" w14:textId="0A537276" w:rsidR="0092450D" w:rsidRPr="0092450D" w:rsidRDefault="0092450D" w:rsidP="0092450D">
            <w:pPr>
              <w:pStyle w:val="ListParagraph"/>
              <w:numPr>
                <w:ilvl w:val="0"/>
                <w:numId w:val="50"/>
              </w:numPr>
              <w:jc w:val="both"/>
              <w:rPr>
                <w:rFonts w:ascii="Calibri" w:hAnsi="Calibri" w:cs="Calibri"/>
              </w:rPr>
            </w:pPr>
            <w:r>
              <w:rPr>
                <w:rFonts w:ascii="Calibri" w:hAnsi="Calibri" w:cs="Calibri"/>
              </w:rPr>
              <w:t>Penalty for senior managers: possible a</w:t>
            </w:r>
            <w:r w:rsidRPr="0092450D">
              <w:rPr>
                <w:rFonts w:ascii="Calibri" w:hAnsi="Calibri" w:cs="Calibri"/>
              </w:rPr>
              <w:t>dministrative measures against management</w:t>
            </w:r>
            <w:r>
              <w:rPr>
                <w:rFonts w:ascii="Calibri" w:hAnsi="Calibri" w:cs="Calibri"/>
              </w:rPr>
              <w:t xml:space="preserve"> (Art.</w:t>
            </w:r>
            <w:r w:rsidRPr="00773FFB">
              <w:rPr>
                <w:rFonts w:ascii="Calibri" w:hAnsi="Calibri" w:cs="Calibri"/>
              </w:rPr>
              <w:t xml:space="preserve"> 34</w:t>
            </w:r>
            <w:r>
              <w:rPr>
                <w:rFonts w:ascii="Calibri" w:hAnsi="Calibri" w:cs="Calibri"/>
              </w:rPr>
              <w:t xml:space="preserve"> - </w:t>
            </w:r>
            <w:r w:rsidRPr="00773FFB">
              <w:rPr>
                <w:rFonts w:ascii="Calibri" w:hAnsi="Calibri" w:cs="Calibri"/>
              </w:rPr>
              <w:t>General supervisory powers</w:t>
            </w:r>
            <w:r>
              <w:rPr>
                <w:rFonts w:ascii="Calibri" w:hAnsi="Calibri" w:cs="Calibri"/>
              </w:rPr>
              <w:t>).</w:t>
            </w:r>
          </w:p>
          <w:p w14:paraId="6BF4AF82" w14:textId="307D622A" w:rsidR="00DD3B33" w:rsidRPr="00F21D03" w:rsidRDefault="0092450D" w:rsidP="00F21D03">
            <w:pPr>
              <w:rPr>
                <w:rFonts w:ascii="Calibri" w:hAnsi="Calibri" w:cs="Calibri"/>
              </w:rPr>
            </w:pPr>
            <w:r>
              <w:rPr>
                <w:rFonts w:ascii="Calibri" w:hAnsi="Calibri" w:cs="Calibri"/>
              </w:rPr>
              <w:t>Besides, the D</w:t>
            </w:r>
            <w:r w:rsidRPr="0092450D">
              <w:rPr>
                <w:rFonts w:ascii="Calibri" w:hAnsi="Calibri" w:cs="Calibri"/>
              </w:rPr>
              <w:t>irective provides comprehensive enforcement powers including</w:t>
            </w:r>
            <w:r w:rsidR="00F21D03">
              <w:rPr>
                <w:rFonts w:ascii="Calibri" w:hAnsi="Calibri" w:cs="Calibri"/>
              </w:rPr>
              <w:t xml:space="preserve"> c</w:t>
            </w:r>
            <w:r w:rsidR="00F21D03" w:rsidRPr="00F21D03">
              <w:rPr>
                <w:rFonts w:ascii="Calibri" w:hAnsi="Calibri" w:cs="Calibri"/>
              </w:rPr>
              <w:t>apital add-ons for non-compliance with risk profile requirements (</w:t>
            </w:r>
            <w:r w:rsidR="00F21D03">
              <w:rPr>
                <w:rFonts w:ascii="Calibri" w:hAnsi="Calibri" w:cs="Calibri"/>
              </w:rPr>
              <w:t>Art.</w:t>
            </w:r>
            <w:r w:rsidR="00F21D03" w:rsidRPr="00F21D03">
              <w:rPr>
                <w:rFonts w:ascii="Calibri" w:hAnsi="Calibri" w:cs="Calibri"/>
              </w:rPr>
              <w:t xml:space="preserve"> 37</w:t>
            </w:r>
            <w:r w:rsidR="00F21D03">
              <w:rPr>
                <w:rFonts w:ascii="Calibri" w:hAnsi="Calibri" w:cs="Calibri"/>
              </w:rPr>
              <w:t xml:space="preserve"> – Capital add-on</w:t>
            </w:r>
            <w:r w:rsidR="00F21D03" w:rsidRPr="00F21D03">
              <w:rPr>
                <w:rFonts w:ascii="Calibri" w:hAnsi="Calibri" w:cs="Calibri"/>
              </w:rPr>
              <w:t>)</w:t>
            </w:r>
            <w:r w:rsidR="00F21D03">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A013428"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4846C85E" w:rsidR="00DD292A" w:rsidRPr="00CF2E7C" w:rsidRDefault="00FB30A5" w:rsidP="00CF2E7C">
            <w:pPr>
              <w:rPr>
                <w:rFonts w:ascii="Calibri" w:hAnsi="Calibri" w:cs="Calibri"/>
              </w:rPr>
            </w:pPr>
            <w:r w:rsidRPr="00FB30A5">
              <w:rPr>
                <w:rFonts w:ascii="Calibri" w:hAnsi="Calibri" w:cs="Calibri"/>
              </w:rPr>
              <w:t xml:space="preserve">The </w:t>
            </w:r>
            <w:r>
              <w:rPr>
                <w:rFonts w:ascii="Calibri" w:hAnsi="Calibri" w:cs="Calibri"/>
              </w:rPr>
              <w:t>D</w:t>
            </w:r>
            <w:r w:rsidRPr="00FB30A5">
              <w:rPr>
                <w:rFonts w:ascii="Calibri" w:hAnsi="Calibri" w:cs="Calibri"/>
              </w:rPr>
              <w:t>irective establishes mandatory requirements, not voluntary rules</w:t>
            </w:r>
            <w:r>
              <w:rPr>
                <w:rFonts w:ascii="Calibri" w:hAnsi="Calibri" w:cs="Calibri"/>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14809C5"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5E819C42" w:rsidR="00DD292A" w:rsidRPr="00CF2E7C" w:rsidRDefault="00FB30A5"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5739F30A" w:rsidR="00DD292A" w:rsidRPr="00E322A5" w:rsidRDefault="008910E3" w:rsidP="00E322A5">
            <w:pPr>
              <w:jc w:val="both"/>
              <w:rPr>
                <w:rFonts w:ascii="Calibri" w:hAnsi="Calibri" w:cs="Calibri"/>
              </w:rPr>
            </w:pPr>
            <w:r w:rsidRPr="008910E3">
              <w:rPr>
                <w:rFonts w:ascii="Calibri" w:hAnsi="Calibri" w:cs="Calibri"/>
              </w:rPr>
              <w:t>Enforcement actions are not yet related to the ESG factors introduced by Directive (EU) 2025/2 in January 2025. Instead, they relate to other aspects of Solvency II.</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CA9ABAA" w:rsidR="00DD292A" w:rsidRPr="00CF2E7C" w:rsidRDefault="00DD292A" w:rsidP="00CF2E7C">
            <w:pPr>
              <w:rPr>
                <w:rFonts w:ascii="Calibri" w:hAnsi="Calibri" w:cs="Calibri"/>
              </w:rPr>
            </w:pPr>
          </w:p>
        </w:tc>
      </w:tr>
      <w:tr w:rsidR="0046242F" w:rsidRPr="009C4D10" w14:paraId="3BEDB650" w14:textId="77777777" w:rsidTr="00CF2E7C">
        <w:trPr>
          <w:trHeight w:val="350"/>
        </w:trPr>
        <w:tc>
          <w:tcPr>
            <w:tcW w:w="1065" w:type="dxa"/>
            <w:vAlign w:val="center"/>
          </w:tcPr>
          <w:p w14:paraId="183E9511" w14:textId="7C48A9F7" w:rsidR="0046242F" w:rsidRPr="00CF2E7C" w:rsidRDefault="0046242F" w:rsidP="0046242F">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46242F" w:rsidRPr="00CF2E7C" w:rsidRDefault="0046242F" w:rsidP="0046242F">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25CE6910" w:rsidR="0046242F" w:rsidRPr="00CF2E7C" w:rsidRDefault="0046242F" w:rsidP="0046242F">
            <w:pPr>
              <w:rPr>
                <w:rFonts w:ascii="Calibri" w:hAnsi="Calibri" w:cs="Calibri"/>
              </w:rPr>
            </w:pPr>
            <w:r>
              <w:rPr>
                <w:rFonts w:ascii="Calibri" w:hAnsi="Calibri" w:cs="Calibri"/>
              </w:rPr>
              <w:t>X</w:t>
            </w:r>
          </w:p>
        </w:tc>
      </w:tr>
      <w:tr w:rsidR="0046242F" w:rsidRPr="009C4D10" w14:paraId="363D64C2" w14:textId="77777777" w:rsidTr="00CF2E7C">
        <w:trPr>
          <w:trHeight w:val="766"/>
        </w:trPr>
        <w:tc>
          <w:tcPr>
            <w:tcW w:w="1065" w:type="dxa"/>
            <w:vAlign w:val="center"/>
          </w:tcPr>
          <w:p w14:paraId="2977EE62" w14:textId="0EFFFB58" w:rsidR="0046242F" w:rsidRPr="00CF2E7C" w:rsidRDefault="0046242F" w:rsidP="0046242F">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46242F" w:rsidRPr="00CF2E7C" w:rsidRDefault="0046242F" w:rsidP="0046242F">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6242F" w:rsidRPr="009C4D10" w14:paraId="371169EF" w14:textId="77777777" w:rsidTr="00CF2E7C">
        <w:trPr>
          <w:trHeight w:val="1020"/>
        </w:trPr>
        <w:tc>
          <w:tcPr>
            <w:tcW w:w="1065" w:type="dxa"/>
            <w:vAlign w:val="center"/>
          </w:tcPr>
          <w:p w14:paraId="6C4F3A9E" w14:textId="77777777" w:rsidR="0046242F" w:rsidRPr="00CF2E7C" w:rsidRDefault="0046242F" w:rsidP="0046242F">
            <w:pPr>
              <w:rPr>
                <w:rFonts w:ascii="Calibri" w:hAnsi="Calibri" w:cs="Calibri"/>
              </w:rPr>
            </w:pPr>
          </w:p>
        </w:tc>
        <w:tc>
          <w:tcPr>
            <w:tcW w:w="9375" w:type="dxa"/>
            <w:gridSpan w:val="7"/>
            <w:shd w:val="clear" w:color="auto" w:fill="auto"/>
            <w:vAlign w:val="center"/>
          </w:tcPr>
          <w:p w14:paraId="170BDB1A" w14:textId="40E3151E" w:rsidR="002321AD" w:rsidRPr="002321AD" w:rsidRDefault="002321AD" w:rsidP="002321AD">
            <w:pPr>
              <w:rPr>
                <w:rFonts w:ascii="Calibri" w:hAnsi="Calibri" w:cs="Calibri"/>
              </w:rPr>
            </w:pPr>
            <w:r w:rsidRPr="002321AD">
              <w:rPr>
                <w:rFonts w:ascii="Calibri" w:hAnsi="Calibri" w:cs="Calibri"/>
              </w:rPr>
              <w:t>Litigations Before the European Courts</w:t>
            </w:r>
          </w:p>
          <w:p w14:paraId="6C56CB68" w14:textId="66D47339" w:rsidR="002321AD" w:rsidRDefault="002321AD" w:rsidP="00486147">
            <w:pPr>
              <w:pStyle w:val="ListParagraph"/>
              <w:numPr>
                <w:ilvl w:val="0"/>
                <w:numId w:val="49"/>
              </w:numPr>
              <w:jc w:val="both"/>
              <w:rPr>
                <w:rFonts w:ascii="Calibri" w:hAnsi="Calibri" w:cs="Calibri"/>
              </w:rPr>
            </w:pPr>
            <w:r w:rsidRPr="002321AD">
              <w:rPr>
                <w:rFonts w:ascii="Calibri" w:hAnsi="Calibri" w:cs="Calibri"/>
              </w:rPr>
              <w:t xml:space="preserve">General Court of the EU: </w:t>
            </w:r>
            <w:r w:rsidR="008F28C7">
              <w:rPr>
                <w:rFonts w:ascii="Calibri" w:hAnsi="Calibri" w:cs="Calibri"/>
              </w:rPr>
              <w:t>t</w:t>
            </w:r>
            <w:r w:rsidRPr="002321AD">
              <w:rPr>
                <w:rFonts w:ascii="Calibri" w:hAnsi="Calibri" w:cs="Calibri"/>
              </w:rPr>
              <w:t>here have been annulment actions brought regarding regulatory acts related to Solvency II. For example, a Slovak insurance company, Novis Versicherungsgesellschaft, challenged a European Commission formal opinion finding that its Slovak regulator had not complied with Solvency II requirements. This is registered as Case T-204/24 before the General Court</w:t>
            </w:r>
            <w:r>
              <w:rPr>
                <w:rFonts w:ascii="Calibri" w:hAnsi="Calibri" w:cs="Calibri"/>
              </w:rPr>
              <w:t xml:space="preserve"> (</w:t>
            </w:r>
            <w:hyperlink r:id="rId18" w:history="1">
              <w:r w:rsidRPr="002321AD">
                <w:rPr>
                  <w:rStyle w:val="Hyperlink"/>
                  <w:rFonts w:ascii="Calibri" w:hAnsi="Calibri" w:cs="Calibri"/>
                </w:rPr>
                <w:t>Link</w:t>
              </w:r>
            </w:hyperlink>
            <w:r>
              <w:rPr>
                <w:rFonts w:ascii="Calibri" w:hAnsi="Calibri" w:cs="Calibri"/>
              </w:rPr>
              <w:t>).</w:t>
            </w:r>
          </w:p>
          <w:p w14:paraId="49E84E31" w14:textId="77777777" w:rsidR="002321AD" w:rsidRDefault="002321AD" w:rsidP="00486147">
            <w:pPr>
              <w:pStyle w:val="ListParagraph"/>
              <w:jc w:val="both"/>
              <w:rPr>
                <w:rFonts w:ascii="Calibri" w:hAnsi="Calibri" w:cs="Calibri"/>
              </w:rPr>
            </w:pPr>
          </w:p>
          <w:p w14:paraId="1C72B992" w14:textId="066AF25F" w:rsidR="002321AD" w:rsidRPr="002321AD" w:rsidRDefault="002321AD" w:rsidP="00486147">
            <w:pPr>
              <w:pStyle w:val="ListParagraph"/>
              <w:numPr>
                <w:ilvl w:val="0"/>
                <w:numId w:val="49"/>
              </w:numPr>
              <w:jc w:val="both"/>
              <w:rPr>
                <w:rFonts w:ascii="Calibri" w:hAnsi="Calibri" w:cs="Calibri"/>
              </w:rPr>
            </w:pPr>
            <w:r w:rsidRPr="002321AD">
              <w:rPr>
                <w:rFonts w:ascii="Calibri" w:hAnsi="Calibri" w:cs="Calibri"/>
              </w:rPr>
              <w:t xml:space="preserve">Court of Justice of the European Union (CJEU): </w:t>
            </w:r>
            <w:r w:rsidR="008F28C7">
              <w:rPr>
                <w:rFonts w:ascii="Calibri" w:hAnsi="Calibri" w:cs="Calibri"/>
              </w:rPr>
              <w:t>i</w:t>
            </w:r>
            <w:r w:rsidRPr="002321AD">
              <w:rPr>
                <w:rFonts w:ascii="Calibri" w:hAnsi="Calibri" w:cs="Calibri"/>
              </w:rPr>
              <w:t>n 2022, the CJEU issued a ruling interpreting Article 292 of the Solvency II Directive in the context of insurance company liquidation, confirming that the procedural law of the country where proceedings are opened applies to all aspects of liquidation, following a dispute between Alpha Insurance and Paget Approbois (Case C-724/20)</w:t>
            </w:r>
            <w:r>
              <w:rPr>
                <w:rFonts w:ascii="Calibri" w:hAnsi="Calibri" w:cs="Calibri"/>
              </w:rPr>
              <w:t xml:space="preserve"> (</w:t>
            </w:r>
            <w:hyperlink r:id="rId19" w:history="1">
              <w:r w:rsidRPr="002321AD">
                <w:rPr>
                  <w:rStyle w:val="Hyperlink"/>
                  <w:rFonts w:ascii="Calibri" w:hAnsi="Calibri" w:cs="Calibri"/>
                </w:rPr>
                <w:t>Link</w:t>
              </w:r>
            </w:hyperlink>
            <w:r>
              <w:rPr>
                <w:rFonts w:ascii="Calibri" w:hAnsi="Calibri" w:cs="Calibri"/>
              </w:rPr>
              <w:t>).</w:t>
            </w:r>
          </w:p>
          <w:p w14:paraId="29DD4CC8" w14:textId="58C8FB97" w:rsidR="002321AD" w:rsidRPr="002321AD" w:rsidRDefault="002321AD" w:rsidP="00486147">
            <w:pPr>
              <w:jc w:val="both"/>
              <w:rPr>
                <w:rFonts w:ascii="Calibri" w:hAnsi="Calibri" w:cs="Calibri"/>
              </w:rPr>
            </w:pPr>
            <w:r w:rsidRPr="002321AD">
              <w:rPr>
                <w:rFonts w:ascii="Calibri" w:hAnsi="Calibri" w:cs="Calibri"/>
              </w:rPr>
              <w:t>EFTA Court Decisions</w:t>
            </w:r>
          </w:p>
          <w:p w14:paraId="29D74E6D" w14:textId="2AF4B83C" w:rsidR="002321AD" w:rsidRPr="002321AD" w:rsidRDefault="002321AD" w:rsidP="00486147">
            <w:pPr>
              <w:pStyle w:val="ListParagraph"/>
              <w:numPr>
                <w:ilvl w:val="0"/>
                <w:numId w:val="49"/>
              </w:numPr>
              <w:jc w:val="both"/>
              <w:rPr>
                <w:rFonts w:ascii="Calibri" w:hAnsi="Calibri" w:cs="Calibri"/>
              </w:rPr>
            </w:pPr>
            <w:r w:rsidRPr="002321AD">
              <w:rPr>
                <w:rFonts w:ascii="Calibri" w:hAnsi="Calibri" w:cs="Calibri"/>
              </w:rPr>
              <w:t>The EFTA Court has been asked to give advisory opinions on the interpretation of Solvency II. For instance, in the 2025 case Söderberg &amp; Partners AS v Gable Insurance AG in Konkurs (E-17/24), the court decided on the privileged status of insurance claims in insolvency proceedings and interpreted specific Solvency II articles (</w:t>
            </w:r>
            <w:hyperlink r:id="rId20" w:history="1">
              <w:r w:rsidRPr="002321AD">
                <w:rPr>
                  <w:rStyle w:val="Hyperlink"/>
                  <w:rFonts w:ascii="Calibri" w:hAnsi="Calibri" w:cs="Calibri"/>
                </w:rPr>
                <w:t>Link</w:t>
              </w:r>
            </w:hyperlink>
            <w:r w:rsidRPr="002321AD">
              <w:rPr>
                <w:rFonts w:ascii="Calibri" w:hAnsi="Calibri" w:cs="Calibri"/>
              </w:rPr>
              <w:t>).</w:t>
            </w:r>
          </w:p>
          <w:p w14:paraId="4A960862" w14:textId="6F2C8A60" w:rsidR="002321AD" w:rsidRPr="002321AD" w:rsidRDefault="002321AD" w:rsidP="00486147">
            <w:pPr>
              <w:jc w:val="both"/>
              <w:rPr>
                <w:rFonts w:ascii="Calibri" w:hAnsi="Calibri" w:cs="Calibri"/>
              </w:rPr>
            </w:pPr>
            <w:r w:rsidRPr="002321AD">
              <w:rPr>
                <w:rFonts w:ascii="Calibri" w:hAnsi="Calibri" w:cs="Calibri"/>
              </w:rPr>
              <w:t>National Litigation Related to Solvency II</w:t>
            </w:r>
          </w:p>
          <w:p w14:paraId="3688BEED" w14:textId="37CF9981" w:rsidR="0046242F" w:rsidRPr="002321AD" w:rsidRDefault="002321AD" w:rsidP="00486147">
            <w:pPr>
              <w:pStyle w:val="ListParagraph"/>
              <w:numPr>
                <w:ilvl w:val="0"/>
                <w:numId w:val="49"/>
              </w:numPr>
              <w:jc w:val="both"/>
              <w:rPr>
                <w:rFonts w:ascii="Calibri" w:hAnsi="Calibri" w:cs="Calibri"/>
              </w:rPr>
            </w:pPr>
            <w:r w:rsidRPr="002321AD">
              <w:rPr>
                <w:rFonts w:ascii="Calibri" w:hAnsi="Calibri" w:cs="Calibri"/>
              </w:rPr>
              <w:lastRenderedPageBreak/>
              <w:t>Courts in member states, such as France and the UK, have dealt with issues around insurance liquidation, privileged claims, and regulatory compliance, often referencing Solvency II provisions or their national transposition</w:t>
            </w:r>
            <w:r>
              <w:rPr>
                <w:rFonts w:ascii="Calibri" w:hAnsi="Calibri" w:cs="Calibri"/>
              </w:rPr>
              <w:t>.</w:t>
            </w:r>
          </w:p>
        </w:tc>
      </w:tr>
    </w:tbl>
    <w:p w14:paraId="4BA540EF" w14:textId="06832A6B" w:rsidR="002D03DA" w:rsidRDefault="002D03DA" w:rsidP="00FE66B1">
      <w:pPr>
        <w:rPr>
          <w:rFonts w:eastAsiaTheme="majorEastAsia" w:cstheme="minorHAnsi"/>
        </w:rPr>
      </w:pPr>
    </w:p>
    <w:p w14:paraId="70FEF9C6" w14:textId="77777777" w:rsidR="002D03DA" w:rsidRDefault="002D03DA">
      <w:pPr>
        <w:spacing w:before="0" w:after="0"/>
        <w:rPr>
          <w:rFonts w:eastAsiaTheme="majorEastAsia" w:cstheme="minorHAnsi"/>
        </w:rPr>
      </w:pPr>
      <w:r>
        <w:rPr>
          <w:rFonts w:eastAsiaTheme="majorEastAsia" w:cstheme="minorHAnsi"/>
        </w:rPr>
        <w:br w:type="page"/>
      </w:r>
    </w:p>
    <w:p w14:paraId="65671900" w14:textId="3A802FA7" w:rsidR="00FE66B1" w:rsidRPr="00FE66B1" w:rsidRDefault="00455E1B" w:rsidP="00FE66B1">
      <w:pPr>
        <w:pStyle w:val="Heading2"/>
      </w:pPr>
      <w:bookmarkStart w:id="41" w:name="_Toc198223633"/>
      <w:r w:rsidRPr="00610C60">
        <w:rPr>
          <w:lang w:val="en-SG"/>
        </w:rPr>
        <w:lastRenderedPageBreak/>
        <w:t xml:space="preserve">Section 5.2: </w:t>
      </w:r>
      <w:r w:rsidR="00FE66B1" w:rsidRPr="00610C6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69904C8" w:rsidR="00410853" w:rsidRPr="00CF2E7C" w:rsidRDefault="00F41F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14175E02" w:rsidR="00410853" w:rsidRPr="00CF2E7C" w:rsidRDefault="008910E3" w:rsidP="00EF239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Solvency II</w:t>
            </w:r>
            <w:r w:rsidR="00EF239D">
              <w:rPr>
                <w:rFonts w:ascii="Calibri" w:eastAsia="Times New Roman" w:hAnsi="Calibri" w:cs="Calibri"/>
                <w:kern w:val="0"/>
                <w:lang w:eastAsia="en-GB"/>
                <w14:ligatures w14:val="none"/>
              </w:rPr>
              <w:t xml:space="preserve"> establishes a c</w:t>
            </w:r>
            <w:r w:rsidR="00F41F1E" w:rsidRPr="00F41F1E">
              <w:rPr>
                <w:rFonts w:ascii="Calibri" w:eastAsia="Times New Roman" w:hAnsi="Calibri" w:cs="Calibri"/>
                <w:kern w:val="0"/>
                <w:lang w:eastAsia="en-GB"/>
                <w14:ligatures w14:val="none"/>
              </w:rPr>
              <w:t>omprehensive prudential supervision framework for insurance/reinsurance sector</w:t>
            </w:r>
            <w:r w:rsidR="00F41F1E">
              <w:rPr>
                <w:rFonts w:ascii="Calibri" w:eastAsia="Times New Roman" w:hAnsi="Calibri" w:cs="Calibri"/>
                <w:kern w:val="0"/>
                <w:lang w:eastAsia="en-GB"/>
                <w14:ligatures w14:val="none"/>
              </w:rPr>
              <w:t>.</w:t>
            </w:r>
            <w:r w:rsidR="00EF239D">
              <w:rPr>
                <w:rFonts w:ascii="Calibri" w:eastAsia="Times New Roman" w:hAnsi="Calibri" w:cs="Calibri"/>
                <w:kern w:val="0"/>
                <w:lang w:eastAsia="en-GB"/>
                <w14:ligatures w14:val="none"/>
              </w:rPr>
              <w:t xml:space="preserve"> </w:t>
            </w:r>
            <w:r>
              <w:rPr>
                <w:color w:val="000000" w:themeColor="text1"/>
              </w:rPr>
              <w:t>Since</w:t>
            </w:r>
            <w:r w:rsidRPr="00F67B1E">
              <w:rPr>
                <w:color w:val="000000" w:themeColor="text1"/>
              </w:rPr>
              <w:t xml:space="preserve"> January 2025</w:t>
            </w:r>
            <w:r>
              <w:rPr>
                <w:color w:val="000000" w:themeColor="text1"/>
              </w:rPr>
              <w:t xml:space="preserve">, </w:t>
            </w:r>
            <w:r>
              <w:rPr>
                <w:color w:val="000000" w:themeColor="text1"/>
              </w:rPr>
              <w:t>it</w:t>
            </w:r>
            <w:r w:rsidRPr="00F67B1E">
              <w:rPr>
                <w:color w:val="000000" w:themeColor="text1"/>
              </w:rPr>
              <w:t xml:space="preserve"> formally requires insurers to incorporate climate and ESG risks into their governance, risk management, and investment policies. It also introduces enhanced transparency obligations on how insurers identify, assess, and manage sustainability risks, making ESG considerations a central part of the Own Risk and Solvency Assessment (ORSA) and public reporting processes</w:t>
            </w:r>
            <w:r>
              <w:rPr>
                <w:color w:val="000000" w:themeColor="text1"/>
              </w:rPr>
              <w:t>.</w:t>
            </w:r>
            <w:r>
              <w:rPr>
                <w:color w:val="000000" w:themeColor="text1"/>
              </w:rPr>
              <w:t xml:space="preserve"> </w:t>
            </w:r>
            <w:r w:rsidR="00EF239D">
              <w:rPr>
                <w:rFonts w:ascii="Calibri" w:eastAsia="Times New Roman" w:hAnsi="Calibri" w:cs="Calibri"/>
                <w:kern w:val="0"/>
                <w:lang w:eastAsia="en-GB"/>
                <w14:ligatures w14:val="none"/>
              </w:rPr>
              <w:t>However, it does not specifically target the risk management and governance of climate risks, the stress-testing or scenario analysis of climate risks or the adjusted capital and liquidity requirements for climate-related risks.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D1865D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C079E9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B5C854D"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772C659"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6956AB1D" w:rsidR="008C4722" w:rsidRPr="00CF2E7C" w:rsidRDefault="002D03DA" w:rsidP="002D03DA">
            <w:pPr>
              <w:jc w:val="both"/>
              <w:textAlignment w:val="baseline"/>
              <w:rPr>
                <w:rFonts w:ascii="Calibri" w:eastAsia="Times New Roman" w:hAnsi="Calibri" w:cs="Calibri"/>
                <w:kern w:val="0"/>
                <w:lang w:eastAsia="en-GB"/>
                <w14:ligatures w14:val="none"/>
              </w:rPr>
            </w:pPr>
            <w:r w:rsidRPr="002D03DA">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D</w:t>
            </w:r>
            <w:r w:rsidRPr="002D03DA">
              <w:rPr>
                <w:rFonts w:ascii="Calibri" w:eastAsia="Times New Roman" w:hAnsi="Calibri" w:cs="Calibri"/>
                <w:kern w:val="0"/>
                <w:lang w:eastAsia="en-GB"/>
                <w14:ligatures w14:val="none"/>
              </w:rPr>
              <w:t>irective's approach is climate-neutral</w:t>
            </w:r>
            <w:r>
              <w:rPr>
                <w:rFonts w:ascii="Calibri" w:eastAsia="Times New Roman" w:hAnsi="Calibri" w:cs="Calibri"/>
                <w:kern w:val="0"/>
                <w:lang w:eastAsia="en-GB"/>
                <w14:ligatures w14:val="none"/>
              </w:rPr>
              <w:t>. In fact, i</w:t>
            </w:r>
            <w:r w:rsidRPr="002D03DA">
              <w:rPr>
                <w:rFonts w:ascii="Calibri" w:eastAsia="Times New Roman" w:hAnsi="Calibri" w:cs="Calibri"/>
                <w:kern w:val="0"/>
                <w:lang w:eastAsia="en-GB"/>
                <w14:ligatures w14:val="none"/>
              </w:rPr>
              <w:t xml:space="preserve">t establishes </w:t>
            </w:r>
            <w:r w:rsidRPr="002D03DA">
              <w:rPr>
                <w:rFonts w:ascii="Calibri" w:eastAsia="Times New Roman" w:hAnsi="Calibri" w:cs="Calibri"/>
                <w:kern w:val="0"/>
                <w:lang w:eastAsia="en-GB"/>
                <w14:ligatures w14:val="none"/>
              </w:rPr>
              <w:lastRenderedPageBreak/>
              <w:t xml:space="preserve">comprehensive risk management </w:t>
            </w:r>
            <w:r w:rsidR="002737D8" w:rsidRPr="002D03DA">
              <w:rPr>
                <w:rFonts w:ascii="Calibri" w:eastAsia="Times New Roman" w:hAnsi="Calibri" w:cs="Calibri"/>
                <w:kern w:val="0"/>
                <w:lang w:eastAsia="en-GB"/>
                <w14:ligatures w14:val="none"/>
              </w:rPr>
              <w:t>frameworks that</w:t>
            </w:r>
            <w:r w:rsidRPr="002D03DA">
              <w:rPr>
                <w:rFonts w:ascii="Calibri" w:eastAsia="Times New Roman" w:hAnsi="Calibri" w:cs="Calibri"/>
                <w:kern w:val="0"/>
                <w:lang w:eastAsia="en-GB"/>
                <w14:ligatures w14:val="none"/>
              </w:rPr>
              <w:t xml:space="preserve"> apply to all risks generally, but without specific recognition of climate as a distinct risk driver requiring targeted treatment.</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8910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9FC6AFA" w14:textId="16F502D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486FC06A" w:rsidR="008C4722"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02357010" w:rsidR="008C4722"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8EBB83B" w:rsidR="008C4722" w:rsidRPr="00CF2E7C" w:rsidRDefault="00AE12E0" w:rsidP="00FE6FB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Directive</w:t>
            </w:r>
            <w:r w:rsidR="00FE6FB8" w:rsidRPr="00FE6FB8">
              <w:rPr>
                <w:rFonts w:ascii="Calibri" w:eastAsia="Times New Roman" w:hAnsi="Calibri" w:cs="Calibri"/>
                <w:kern w:val="0"/>
                <w:lang w:eastAsia="en-GB"/>
                <w14:ligatures w14:val="none"/>
              </w:rPr>
              <w:t xml:space="preserve"> incorporates supervisory review processes similar to Pillar 2 through capital add-ons and ongoing supervisory assessment</w:t>
            </w:r>
            <w:r w:rsidR="00FE6FB8">
              <w:rPr>
                <w:rFonts w:ascii="Calibri" w:eastAsia="Times New Roman" w:hAnsi="Calibri" w:cs="Calibri"/>
                <w:kern w:val="0"/>
                <w:lang w:eastAsia="en-GB"/>
                <w14:ligatures w14:val="none"/>
              </w:rPr>
              <w:t xml:space="preserve"> (Art. 36 - </w:t>
            </w:r>
            <w:r w:rsidR="00FE6FB8" w:rsidRPr="00FE6FB8">
              <w:rPr>
                <w:rFonts w:ascii="Calibri" w:eastAsia="Times New Roman" w:hAnsi="Calibri" w:cs="Calibri"/>
                <w:kern w:val="0"/>
                <w:lang w:eastAsia="en-GB"/>
                <w14:ligatures w14:val="none"/>
              </w:rPr>
              <w:t>Supervisory review process</w:t>
            </w:r>
            <w:r w:rsidR="00FE6FB8">
              <w:rPr>
                <w:rFonts w:ascii="Calibri" w:eastAsia="Times New Roman" w:hAnsi="Calibri" w:cs="Calibri"/>
                <w:kern w:val="0"/>
                <w:lang w:eastAsia="en-GB"/>
                <w14:ligatures w14:val="none"/>
              </w:rPr>
              <w:t xml:space="preserve"> and Art. 37 – Capital add-on) and Pillar 3 i</w:t>
            </w:r>
            <w:r w:rsidR="00FE6FB8" w:rsidRPr="00FE6FB8">
              <w:rPr>
                <w:rFonts w:ascii="Calibri" w:eastAsia="Times New Roman" w:hAnsi="Calibri" w:cs="Calibri"/>
                <w:kern w:val="0"/>
                <w:lang w:eastAsia="en-GB"/>
                <w14:ligatures w14:val="none"/>
              </w:rPr>
              <w:t>s achieved through mandatory public disclosure requirements</w:t>
            </w:r>
            <w:r w:rsidR="00FE6FB8">
              <w:rPr>
                <w:rFonts w:ascii="Calibri" w:eastAsia="Times New Roman" w:hAnsi="Calibri" w:cs="Calibri"/>
                <w:kern w:val="0"/>
                <w:lang w:eastAsia="en-GB"/>
                <w14:ligatures w14:val="none"/>
              </w:rPr>
              <w:t xml:space="preserve"> (Art. 53 – Report on solvency and financial condition: applicable principles)</w:t>
            </w:r>
            <w:r>
              <w:rPr>
                <w:rFonts w:ascii="Calibri" w:eastAsia="Times New Roman" w:hAnsi="Calibri" w:cs="Calibri"/>
                <w:kern w:val="0"/>
                <w:lang w:eastAsia="en-GB"/>
                <w14:ligatures w14:val="none"/>
              </w:rPr>
              <w:t>.</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D366DE2" w:rsidR="007B7DEE"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C222C4C" w:rsidR="00ED7E12"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16D6C2A4" w:rsidR="00ED7E12"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460A5E77" w:rsidR="00ED7E12" w:rsidRPr="00CF2E7C" w:rsidRDefault="00FE6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FE13560" w:rsidR="00ED7E12" w:rsidRPr="00CF2E7C" w:rsidRDefault="00FE6FB8" w:rsidP="00FE6FB8">
            <w:pPr>
              <w:jc w:val="both"/>
              <w:textAlignment w:val="baseline"/>
              <w:rPr>
                <w:rFonts w:ascii="Calibri" w:eastAsia="Times New Roman" w:hAnsi="Calibri" w:cs="Calibri"/>
                <w:kern w:val="0"/>
                <w:lang w:eastAsia="en-GB"/>
                <w14:ligatures w14:val="none"/>
              </w:rPr>
            </w:pPr>
            <w:r w:rsidRPr="00FE6FB8">
              <w:rPr>
                <w:rFonts w:ascii="Calibri" w:eastAsia="Times New Roman" w:hAnsi="Calibri" w:cs="Calibri"/>
                <w:kern w:val="0"/>
                <w:lang w:eastAsia="en-GB"/>
                <w14:ligatures w14:val="none"/>
              </w:rPr>
              <w:t>Comprehensive monitoring through regular supervisory reporting</w:t>
            </w:r>
            <w:r>
              <w:rPr>
                <w:rFonts w:ascii="Calibri" w:eastAsia="Times New Roman" w:hAnsi="Calibri" w:cs="Calibri"/>
                <w:kern w:val="0"/>
                <w:lang w:eastAsia="en-GB"/>
                <w14:ligatures w14:val="none"/>
              </w:rPr>
              <w:t xml:space="preserve"> (Art. 35 - </w:t>
            </w:r>
            <w:r w:rsidRPr="00FE6FB8">
              <w:rPr>
                <w:rFonts w:ascii="Calibri" w:eastAsia="Times New Roman" w:hAnsi="Calibri" w:cs="Calibri"/>
                <w:kern w:val="0"/>
                <w:lang w:eastAsia="en-GB"/>
                <w14:ligatures w14:val="none"/>
              </w:rPr>
              <w:t>Information to be provided for supervisory purposes</w:t>
            </w:r>
            <w:r>
              <w:rPr>
                <w:rFonts w:ascii="Calibri" w:eastAsia="Times New Roman" w:hAnsi="Calibri" w:cs="Calibri"/>
                <w:kern w:val="0"/>
                <w:lang w:eastAsia="en-GB"/>
                <w14:ligatures w14:val="none"/>
              </w:rPr>
              <w:t>)</w:t>
            </w:r>
            <w:r w:rsidRPr="00FE6FB8">
              <w:rPr>
                <w:rFonts w:ascii="Calibri" w:eastAsia="Times New Roman" w:hAnsi="Calibri" w:cs="Calibri"/>
                <w:kern w:val="0"/>
                <w:lang w:eastAsia="en-GB"/>
                <w14:ligatures w14:val="none"/>
              </w:rPr>
              <w:t xml:space="preserve">, ongoing supervisory review processes </w:t>
            </w:r>
            <w:r>
              <w:rPr>
                <w:rFonts w:ascii="Calibri" w:eastAsia="Times New Roman" w:hAnsi="Calibri" w:cs="Calibri"/>
                <w:kern w:val="0"/>
                <w:lang w:eastAsia="en-GB"/>
                <w14:ligatures w14:val="none"/>
              </w:rPr>
              <w:t xml:space="preserve">(Art. 36 - </w:t>
            </w:r>
            <w:r w:rsidRPr="00FE6FB8">
              <w:rPr>
                <w:rFonts w:ascii="Calibri" w:eastAsia="Times New Roman" w:hAnsi="Calibri" w:cs="Calibri"/>
                <w:kern w:val="0"/>
                <w:lang w:eastAsia="en-GB"/>
                <w14:ligatures w14:val="none"/>
              </w:rPr>
              <w:t>Supervisory review process</w:t>
            </w:r>
            <w:r>
              <w:rPr>
                <w:rFonts w:ascii="Calibri" w:eastAsia="Times New Roman" w:hAnsi="Calibri" w:cs="Calibri"/>
                <w:kern w:val="0"/>
                <w:lang w:eastAsia="en-GB"/>
                <w14:ligatures w14:val="none"/>
              </w:rPr>
              <w:t>)</w:t>
            </w:r>
            <w:r w:rsidRPr="00FE6FB8">
              <w:rPr>
                <w:rFonts w:ascii="Calibri" w:eastAsia="Times New Roman" w:hAnsi="Calibri" w:cs="Calibri"/>
                <w:kern w:val="0"/>
                <w:lang w:eastAsia="en-GB"/>
                <w14:ligatures w14:val="none"/>
              </w:rPr>
              <w:t>, and mandatory auditor reporting of material breaches</w:t>
            </w:r>
            <w:r>
              <w:rPr>
                <w:rFonts w:ascii="Calibri" w:eastAsia="Times New Roman" w:hAnsi="Calibri" w:cs="Calibri"/>
                <w:kern w:val="0"/>
                <w:lang w:eastAsia="en-GB"/>
                <w14:ligatures w14:val="none"/>
              </w:rPr>
              <w:t xml:space="preserve"> (Art.</w:t>
            </w:r>
            <w:r>
              <w:t xml:space="preserve"> </w:t>
            </w:r>
            <w:r w:rsidRPr="00FE6FB8">
              <w:rPr>
                <w:rFonts w:ascii="Calibri" w:eastAsia="Times New Roman" w:hAnsi="Calibri" w:cs="Calibri"/>
                <w:kern w:val="0"/>
                <w:lang w:eastAsia="en-GB"/>
                <w14:ligatures w14:val="none"/>
              </w:rPr>
              <w:t>72</w:t>
            </w:r>
            <w:r>
              <w:rPr>
                <w:rFonts w:ascii="Calibri" w:eastAsia="Times New Roman" w:hAnsi="Calibri" w:cs="Calibri"/>
                <w:kern w:val="0"/>
                <w:lang w:eastAsia="en-GB"/>
                <w14:ligatures w14:val="none"/>
              </w:rPr>
              <w:t xml:space="preserve"> - </w:t>
            </w:r>
            <w:r w:rsidRPr="00FE6FB8">
              <w:rPr>
                <w:rFonts w:ascii="Calibri" w:eastAsia="Times New Roman" w:hAnsi="Calibri" w:cs="Calibri"/>
                <w:kern w:val="0"/>
                <w:lang w:eastAsia="en-GB"/>
                <w14:ligatures w14:val="none"/>
              </w:rPr>
              <w:t>Duties of auditors</w:t>
            </w:r>
            <w:r>
              <w:rPr>
                <w:rFonts w:ascii="Calibri" w:eastAsia="Times New Roman" w:hAnsi="Calibri" w:cs="Calibri"/>
                <w:kern w:val="0"/>
                <w:lang w:eastAsia="en-GB"/>
                <w14:ligatures w14:val="none"/>
              </w:rPr>
              <w:t>)</w:t>
            </w:r>
            <w:r w:rsidRPr="00FE6FB8">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260765D5"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4DA714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4B385C8D"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4C436A0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1489D50"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2FD170EE"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C93DEA6" w14:textId="69C7D410"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27BDA0A" w14:textId="321F470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4F48984" w:rsidR="00F20AC7" w:rsidRPr="00AE12E0" w:rsidRDefault="00F20AC7" w:rsidP="00AE12E0">
            <w:pPr>
              <w:jc w:val="both"/>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03FA712" w14:textId="5AEA7A5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AE12E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464A3A5" w14:textId="70639A1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B446E7A" w14:textId="381C542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7CF6B6"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35769A7" w14:textId="31D6361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6AD2862"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9E5846" w14:textId="01E6C25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EF45D2" w14:textId="77777777" w:rsidTr="00AE12E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0995F72" w14:textId="0CBB3CB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AE12E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93BA361" w14:textId="0615AEB3"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AE12E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083747E" w14:textId="08DBCE8E"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AE12E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8BD25CF" w14:textId="738FD76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09C98C05"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AE12E0">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1111CBE" w14:textId="140D4A93"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CF2AA10"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2F6BA34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4F6437AE"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2B8FA55"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D686CD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2014425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4421A4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AE12E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2DA5710" w14:textId="36F7471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AE12E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tcPr>
          <w:p w14:paraId="611331C6" w14:textId="476E749A"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74A62C" w14:textId="77777777" w:rsidTr="00AE12E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tcPr>
          <w:p w14:paraId="01262C0D" w14:textId="737C0378" w:rsidR="00F26296" w:rsidRPr="00CF2E7C" w:rsidRDefault="00F26296" w:rsidP="00CF2E7C">
            <w:pPr>
              <w:textAlignment w:val="baseline"/>
              <w:rPr>
                <w:rFonts w:ascii="Calibri" w:eastAsia="Times New Roman" w:hAnsi="Calibri" w:cs="Calibri"/>
                <w:kern w:val="0"/>
                <w:lang w:eastAsia="en-GB"/>
                <w14:ligatures w14:val="none"/>
              </w:rPr>
            </w:pP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4339E45" w:rsidR="00F26296" w:rsidRPr="00CF2E7C" w:rsidRDefault="00A451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1B8734A0" w:rsidR="00F26296" w:rsidRPr="00CF2E7C" w:rsidRDefault="00A670DE" w:rsidP="00A670DE">
            <w:pPr>
              <w:jc w:val="both"/>
              <w:textAlignment w:val="baseline"/>
              <w:rPr>
                <w:rFonts w:ascii="Calibri" w:eastAsia="Times New Roman" w:hAnsi="Calibri" w:cs="Calibri"/>
                <w:kern w:val="0"/>
                <w:lang w:eastAsia="en-GB"/>
                <w14:ligatures w14:val="none"/>
              </w:rPr>
            </w:pPr>
            <w:r w:rsidRPr="00A670DE">
              <w:rPr>
                <w:rFonts w:ascii="Calibri" w:eastAsia="Times New Roman" w:hAnsi="Calibri" w:cs="Calibri"/>
                <w:kern w:val="0"/>
                <w:lang w:eastAsia="en-GB"/>
                <w14:ligatures w14:val="none"/>
              </w:rPr>
              <w:t>The</w:t>
            </w:r>
            <w:r>
              <w:rPr>
                <w:rFonts w:ascii="Calibri" w:eastAsia="Times New Roman" w:hAnsi="Calibri" w:cs="Calibri"/>
                <w:kern w:val="0"/>
                <w:lang w:eastAsia="en-GB"/>
                <w14:ligatures w14:val="none"/>
              </w:rPr>
              <w:t xml:space="preserve"> D</w:t>
            </w:r>
            <w:r w:rsidRPr="00A670DE">
              <w:rPr>
                <w:rFonts w:ascii="Calibri" w:eastAsia="Times New Roman" w:hAnsi="Calibri" w:cs="Calibri"/>
                <w:kern w:val="0"/>
                <w:lang w:eastAsia="en-GB"/>
                <w14:ligatures w14:val="none"/>
              </w:rPr>
              <w:t xml:space="preserve">irective does not specifically consider climate-related risks when assessing capital requirements. The </w:t>
            </w:r>
            <w:r>
              <w:rPr>
                <w:rFonts w:ascii="Calibri" w:eastAsia="Times New Roman" w:hAnsi="Calibri" w:cs="Calibri"/>
                <w:kern w:val="0"/>
                <w:lang w:eastAsia="en-GB"/>
                <w14:ligatures w14:val="none"/>
              </w:rPr>
              <w:t>D</w:t>
            </w:r>
            <w:r w:rsidRPr="00A670DE">
              <w:rPr>
                <w:rFonts w:ascii="Calibri" w:eastAsia="Times New Roman" w:hAnsi="Calibri" w:cs="Calibri"/>
                <w:kern w:val="0"/>
                <w:lang w:eastAsia="en-GB"/>
                <w14:ligatures w14:val="none"/>
              </w:rPr>
              <w:t>irective focuses on traditional insurance risks including underwriting risk, market risk, credit risk, and operational risk</w:t>
            </w:r>
            <w:r>
              <w:rPr>
                <w:rFonts w:ascii="Calibri" w:eastAsia="Times New Roman" w:hAnsi="Calibri" w:cs="Calibri"/>
                <w:kern w:val="0"/>
                <w:lang w:eastAsia="en-GB"/>
                <w14:ligatures w14:val="none"/>
              </w:rPr>
              <w:t xml:space="preserve"> (Art.</w:t>
            </w:r>
            <w:r w:rsidRPr="00A670DE">
              <w:rPr>
                <w:rFonts w:ascii="Calibri" w:eastAsia="Times New Roman" w:hAnsi="Calibri" w:cs="Calibri"/>
                <w:kern w:val="0"/>
                <w:lang w:eastAsia="en-GB"/>
                <w14:ligatures w14:val="none"/>
              </w:rPr>
              <w:t xml:space="preserve"> 104</w:t>
            </w:r>
            <w:r>
              <w:rPr>
                <w:rFonts w:ascii="Calibri" w:eastAsia="Times New Roman" w:hAnsi="Calibri" w:cs="Calibri"/>
                <w:kern w:val="0"/>
                <w:lang w:eastAsia="en-GB"/>
                <w14:ligatures w14:val="none"/>
              </w:rPr>
              <w:t xml:space="preserve"> - </w:t>
            </w:r>
            <w:r w:rsidRPr="00A670DE">
              <w:rPr>
                <w:rFonts w:ascii="Calibri" w:eastAsia="Times New Roman" w:hAnsi="Calibri" w:cs="Calibri"/>
                <w:kern w:val="0"/>
                <w:lang w:eastAsia="en-GB"/>
                <w14:ligatures w14:val="none"/>
              </w:rPr>
              <w:t>Design of the Basic Solvency Capital Requirement</w:t>
            </w:r>
            <w:r>
              <w:rPr>
                <w:rFonts w:ascii="Calibri" w:eastAsia="Times New Roman" w:hAnsi="Calibri" w:cs="Calibri"/>
                <w:kern w:val="0"/>
                <w:lang w:eastAsia="en-GB"/>
                <w14:ligatures w14:val="none"/>
              </w:rPr>
              <w:t>).</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1A52AE7" w:rsidR="00F26296" w:rsidRPr="00CF2E7C" w:rsidRDefault="00A670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21F06F2" w:rsidR="00F26296" w:rsidRPr="00CF2E7C" w:rsidRDefault="00A670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1A139CD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670DE">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A99736A" w:rsidR="00F26296" w:rsidRPr="00CF2E7C" w:rsidRDefault="00A670DE" w:rsidP="00CF2E7C">
            <w:pPr>
              <w:textAlignment w:val="baseline"/>
              <w:rPr>
                <w:rFonts w:ascii="Calibri" w:eastAsia="Times New Roman" w:hAnsi="Calibri" w:cs="Calibri"/>
                <w:kern w:val="0"/>
                <w:lang w:eastAsia="en-GB"/>
                <w14:ligatures w14:val="none"/>
              </w:rPr>
            </w:pPr>
            <w:r w:rsidRPr="00A670DE">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D</w:t>
            </w:r>
            <w:r w:rsidRPr="00A670DE">
              <w:rPr>
                <w:rFonts w:ascii="Calibri" w:eastAsia="Times New Roman" w:hAnsi="Calibri" w:cs="Calibri"/>
                <w:kern w:val="0"/>
                <w:lang w:eastAsia="en-GB"/>
                <w14:ligatures w14:val="none"/>
              </w:rPr>
              <w:t>irective does not establish differentiated capital requirements based on green or brown activities.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BEDAB49" w:rsidR="00B114FD" w:rsidRPr="00CF2E7C" w:rsidRDefault="00A670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1AB25E2F" w:rsidR="00B114FD" w:rsidRPr="00CF2E7C" w:rsidRDefault="00A670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Di</w:t>
            </w:r>
            <w:r w:rsidRPr="00A670DE">
              <w:rPr>
                <w:rFonts w:ascii="Calibri" w:eastAsia="Times New Roman" w:hAnsi="Calibri" w:cs="Calibri"/>
                <w:kern w:val="0"/>
                <w:lang w:eastAsia="en-GB"/>
                <w14:ligatures w14:val="none"/>
              </w:rPr>
              <w:t>rective does not recommend or require preferential lending to green sectors.</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7D3F52F" w:rsidR="00B114FD" w:rsidRPr="00CF2E7C" w:rsidRDefault="00A670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4DD86E3" w:rsidR="00702413" w:rsidRPr="009C4D10" w:rsidRDefault="00A670DE" w:rsidP="00A670DE">
            <w:pPr>
              <w:jc w:val="both"/>
              <w:textAlignment w:val="baseline"/>
              <w:rPr>
                <w:rFonts w:eastAsia="Times New Roman" w:cstheme="minorHAnsi"/>
                <w:kern w:val="0"/>
                <w:lang w:eastAsia="en-GB"/>
                <w14:ligatures w14:val="none"/>
              </w:rPr>
            </w:pPr>
            <w:r w:rsidRPr="00A670DE">
              <w:rPr>
                <w:rFonts w:eastAsia="Times New Roman" w:cstheme="minorHAnsi"/>
                <w:kern w:val="0"/>
                <w:lang w:eastAsia="en-GB"/>
                <w14:ligatures w14:val="none"/>
              </w:rPr>
              <w:t xml:space="preserve">The </w:t>
            </w:r>
            <w:r>
              <w:rPr>
                <w:rFonts w:eastAsia="Times New Roman" w:cstheme="minorHAnsi"/>
                <w:kern w:val="0"/>
                <w:lang w:eastAsia="en-GB"/>
                <w14:ligatures w14:val="none"/>
              </w:rPr>
              <w:t>D</w:t>
            </w:r>
            <w:r w:rsidRPr="00A670DE">
              <w:rPr>
                <w:rFonts w:eastAsia="Times New Roman" w:cstheme="minorHAnsi"/>
                <w:kern w:val="0"/>
                <w:lang w:eastAsia="en-GB"/>
                <w14:ligatures w14:val="none"/>
              </w:rPr>
              <w:t xml:space="preserve">irective is a comprehensive prudential framework for insurance and reinsurance undertakings that establishes risk-based supervision through three pillars: quantitative requirements (Solvency Capital Requirement and Minimum Capital Requirement), qualitative requirements (system of governance), and supervisory review and disclosure. While the </w:t>
            </w:r>
            <w:r>
              <w:rPr>
                <w:rFonts w:eastAsia="Times New Roman" w:cstheme="minorHAnsi"/>
                <w:kern w:val="0"/>
                <w:lang w:eastAsia="en-GB"/>
                <w14:ligatures w14:val="none"/>
              </w:rPr>
              <w:t>D</w:t>
            </w:r>
            <w:r w:rsidRPr="00A670DE">
              <w:rPr>
                <w:rFonts w:eastAsia="Times New Roman" w:cstheme="minorHAnsi"/>
                <w:kern w:val="0"/>
                <w:lang w:eastAsia="en-GB"/>
                <w14:ligatures w14:val="none"/>
              </w:rPr>
              <w:t>irective does not specifically address climate-related risks, its general risk management framework could potentially encompass climate risks within broader risk categories such as catastrophe risk or market risk.</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6DA1CDF" w:rsidR="00702413" w:rsidRPr="009C4D10" w:rsidRDefault="00A670DE" w:rsidP="00A670DE">
            <w:pPr>
              <w:jc w:val="both"/>
              <w:textAlignment w:val="baseline"/>
              <w:rPr>
                <w:rFonts w:eastAsia="Times New Roman" w:cstheme="minorHAnsi"/>
                <w:kern w:val="0"/>
                <w:lang w:eastAsia="en-GB"/>
                <w14:ligatures w14:val="none"/>
              </w:rPr>
            </w:pPr>
            <w:r w:rsidRPr="00A670DE">
              <w:rPr>
                <w:rFonts w:eastAsia="Times New Roman" w:cstheme="minorHAnsi"/>
                <w:kern w:val="0"/>
                <w:lang w:eastAsia="en-GB"/>
                <w14:ligatures w14:val="none"/>
              </w:rPr>
              <w:t xml:space="preserve">The main barrier is that Solvency II was not designed as a climate-focused </w:t>
            </w:r>
            <w:r w:rsidR="003F01F0">
              <w:rPr>
                <w:rFonts w:eastAsia="Times New Roman" w:cstheme="minorHAnsi"/>
                <w:kern w:val="0"/>
                <w:lang w:eastAsia="en-GB"/>
                <w14:ligatures w14:val="none"/>
              </w:rPr>
              <w:t>legislati</w:t>
            </w:r>
            <w:r w:rsidR="003F01F0" w:rsidRPr="00A670DE">
              <w:rPr>
                <w:rFonts w:eastAsia="Times New Roman" w:cstheme="minorHAnsi"/>
                <w:kern w:val="0"/>
                <w:lang w:eastAsia="en-GB"/>
                <w14:ligatures w14:val="none"/>
              </w:rPr>
              <w:t>on</w:t>
            </w:r>
            <w:r w:rsidRPr="00A670DE">
              <w:rPr>
                <w:rFonts w:eastAsia="Times New Roman" w:cstheme="minorHAnsi"/>
                <w:kern w:val="0"/>
                <w:lang w:eastAsia="en-GB"/>
                <w14:ligatures w14:val="none"/>
              </w:rPr>
              <w:t xml:space="preserve">. </w:t>
            </w:r>
            <w:r w:rsidR="003F01F0">
              <w:rPr>
                <w:rFonts w:eastAsia="Times New Roman" w:cstheme="minorHAnsi"/>
                <w:kern w:val="0"/>
                <w:lang w:eastAsia="en-GB"/>
                <w14:ligatures w14:val="none"/>
              </w:rPr>
              <w:t>Solvency II’s</w:t>
            </w:r>
            <w:r w:rsidRPr="00A670DE">
              <w:rPr>
                <w:rFonts w:eastAsia="Times New Roman" w:cstheme="minorHAnsi"/>
                <w:kern w:val="0"/>
                <w:lang w:eastAsia="en-GB"/>
                <w14:ligatures w14:val="none"/>
              </w:rPr>
              <w:t xml:space="preserve"> risk categories and methodologies do not specifically identify or address climate-related risks, making it challenging to use this framework for climate-related financial risk management without significant adaptations or supplementary guidance.</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78B7340" w:rsidR="00FE0EA5" w:rsidRPr="009C4D10" w:rsidRDefault="00A670DE"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ABAB0B2" w:rsidR="00FE0EA5" w:rsidRPr="009C4D10" w:rsidRDefault="00A670DE" w:rsidP="00CF2E7C">
            <w:pPr>
              <w:rPr>
                <w:rFonts w:cstheme="minorHAnsi"/>
              </w:rPr>
            </w:pPr>
            <w:r>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0D80814" w:rsidR="00FE0EA5" w:rsidRPr="009C4D10" w:rsidRDefault="00A670DE" w:rsidP="00CF2E7C">
            <w:pPr>
              <w:rPr>
                <w:rFonts w:cstheme="minorHAnsi"/>
              </w:rPr>
            </w:pPr>
            <w:r>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6EF8405" w:rsidR="00FE0EA5" w:rsidRPr="009C4D10" w:rsidRDefault="00A670DE" w:rsidP="00CF2E7C">
            <w:pPr>
              <w:rPr>
                <w:rFonts w:cstheme="minorHAnsi"/>
              </w:rPr>
            </w:pPr>
            <w:r>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3C594EE" w:rsidR="00FE0EA5" w:rsidRPr="009C4D10" w:rsidRDefault="00A670DE" w:rsidP="00CF2E7C">
            <w:pPr>
              <w:rPr>
                <w:rFonts w:cstheme="minorHAnsi"/>
              </w:rPr>
            </w:pPr>
            <w:r>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05768AF" w:rsidR="00FE0EA5" w:rsidRPr="009C4D10" w:rsidRDefault="00DC0D01"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3DCA36F" w:rsidR="00FE0EA5" w:rsidRPr="009C4D10" w:rsidRDefault="00DC0D01" w:rsidP="00CF2E7C">
            <w:pPr>
              <w:rPr>
                <w:rFonts w:cstheme="minorHAnsi"/>
              </w:rPr>
            </w:pPr>
            <w:r>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75BFF62" w14:textId="77777777" w:rsidR="00057226" w:rsidRDefault="00057226" w:rsidP="00057226">
            <w:pPr>
              <w:rPr>
                <w:rFonts w:cstheme="minorHAnsi"/>
              </w:rPr>
            </w:pPr>
            <w:r>
              <w:rPr>
                <w:rFonts w:cstheme="minorHAnsi"/>
              </w:rPr>
              <w:t>The Directive references to:</w:t>
            </w:r>
          </w:p>
          <w:p w14:paraId="0883AA4B" w14:textId="47D3D02E" w:rsidR="00057226" w:rsidRDefault="00057226" w:rsidP="00057226">
            <w:pPr>
              <w:pStyle w:val="ListParagraph"/>
              <w:numPr>
                <w:ilvl w:val="0"/>
                <w:numId w:val="49"/>
              </w:numPr>
              <w:rPr>
                <w:rFonts w:cstheme="minorHAnsi"/>
              </w:rPr>
            </w:pPr>
            <w:r w:rsidRPr="00057226">
              <w:rPr>
                <w:rFonts w:cstheme="minorHAnsi"/>
              </w:rPr>
              <w:t>Regulation (EU) No 1094/2010 (</w:t>
            </w:r>
            <w:hyperlink r:id="rId23" w:history="1">
              <w:r w:rsidRPr="00057226">
                <w:rPr>
                  <w:rStyle w:val="Hyperlink"/>
                  <w:rFonts w:cstheme="minorHAnsi"/>
                </w:rPr>
                <w:t>EIOPA</w:t>
              </w:r>
            </w:hyperlink>
            <w:r w:rsidRPr="00057226">
              <w:rPr>
                <w:rFonts w:cstheme="minorHAnsi"/>
              </w:rPr>
              <w:t xml:space="preserve">) </w:t>
            </w:r>
          </w:p>
          <w:p w14:paraId="272136E6" w14:textId="1C78B630" w:rsidR="00057226" w:rsidRDefault="00057226" w:rsidP="00057226">
            <w:pPr>
              <w:pStyle w:val="ListParagraph"/>
              <w:numPr>
                <w:ilvl w:val="0"/>
                <w:numId w:val="49"/>
              </w:numPr>
              <w:rPr>
                <w:rFonts w:cstheme="minorHAnsi"/>
              </w:rPr>
            </w:pPr>
            <w:r w:rsidRPr="00057226">
              <w:rPr>
                <w:rFonts w:cstheme="minorHAnsi"/>
              </w:rPr>
              <w:lastRenderedPageBreak/>
              <w:t>Regulation (EU) 2022/2554 (</w:t>
            </w:r>
            <w:hyperlink r:id="rId24" w:history="1">
              <w:r w:rsidRPr="00057226">
                <w:rPr>
                  <w:rStyle w:val="Hyperlink"/>
                  <w:rFonts w:cstheme="minorHAnsi"/>
                </w:rPr>
                <w:t>DORA</w:t>
              </w:r>
            </w:hyperlink>
            <w:r w:rsidRPr="00057226">
              <w:rPr>
                <w:rFonts w:cstheme="minorHAnsi"/>
              </w:rPr>
              <w:t>)</w:t>
            </w:r>
          </w:p>
          <w:p w14:paraId="4F23655D" w14:textId="29B74179" w:rsidR="00057226" w:rsidRDefault="00057226" w:rsidP="00057226">
            <w:pPr>
              <w:pStyle w:val="ListParagraph"/>
              <w:numPr>
                <w:ilvl w:val="0"/>
                <w:numId w:val="49"/>
              </w:numPr>
              <w:rPr>
                <w:rFonts w:cstheme="minorHAnsi"/>
              </w:rPr>
            </w:pPr>
            <w:r w:rsidRPr="00057226">
              <w:rPr>
                <w:rFonts w:cstheme="minorHAnsi"/>
              </w:rPr>
              <w:t>Directive 2004/39/EC (MiFID)</w:t>
            </w:r>
            <w:r>
              <w:rPr>
                <w:rFonts w:cstheme="minorHAnsi"/>
              </w:rPr>
              <w:t xml:space="preserve"> – updated by </w:t>
            </w:r>
            <w:r w:rsidRPr="00057226">
              <w:rPr>
                <w:rFonts w:cstheme="minorHAnsi"/>
              </w:rPr>
              <w:t>Directive 2014/65/EU</w:t>
            </w:r>
            <w:r>
              <w:rPr>
                <w:rFonts w:cstheme="minorHAnsi"/>
              </w:rPr>
              <w:t xml:space="preserve"> (</w:t>
            </w:r>
            <w:hyperlink r:id="rId25" w:history="1">
              <w:r w:rsidRPr="00057226">
                <w:rPr>
                  <w:rStyle w:val="Hyperlink"/>
                  <w:rFonts w:cstheme="minorHAnsi"/>
                </w:rPr>
                <w:t>MiFID II</w:t>
              </w:r>
            </w:hyperlink>
            <w:r>
              <w:rPr>
                <w:rFonts w:cstheme="minorHAnsi"/>
              </w:rPr>
              <w:t>)</w:t>
            </w:r>
          </w:p>
          <w:p w14:paraId="74D1739B" w14:textId="38CB4103" w:rsidR="00057226" w:rsidRDefault="00057226" w:rsidP="00057226">
            <w:pPr>
              <w:pStyle w:val="ListParagraph"/>
              <w:numPr>
                <w:ilvl w:val="0"/>
                <w:numId w:val="49"/>
              </w:numPr>
              <w:rPr>
                <w:rFonts w:cstheme="minorHAnsi"/>
              </w:rPr>
            </w:pPr>
            <w:r w:rsidRPr="00057226">
              <w:rPr>
                <w:rFonts w:cstheme="minorHAnsi"/>
              </w:rPr>
              <w:t>Directive 2002/87/EC</w:t>
            </w:r>
            <w:r w:rsidR="00FD7D3C">
              <w:rPr>
                <w:rFonts w:cstheme="minorHAnsi"/>
              </w:rPr>
              <w:t xml:space="preserve"> (</w:t>
            </w:r>
            <w:hyperlink r:id="rId26" w:history="1">
              <w:r w:rsidR="00FD7D3C" w:rsidRPr="00FD7D3C">
                <w:rPr>
                  <w:rStyle w:val="Hyperlink"/>
                  <w:rFonts w:cstheme="minorHAnsi"/>
                </w:rPr>
                <w:t>FICOD</w:t>
              </w:r>
            </w:hyperlink>
            <w:r w:rsidR="00FD7D3C">
              <w:rPr>
                <w:rFonts w:cstheme="minorHAnsi"/>
              </w:rPr>
              <w:t>)</w:t>
            </w:r>
            <w:r w:rsidRPr="00057226">
              <w:rPr>
                <w:rFonts w:cstheme="minorHAnsi"/>
              </w:rPr>
              <w:t xml:space="preserve"> </w:t>
            </w:r>
          </w:p>
          <w:p w14:paraId="7DAAD66D" w14:textId="498839B9" w:rsidR="00057226" w:rsidRPr="00FD7D3C" w:rsidRDefault="00FD7D3C" w:rsidP="00FD7D3C">
            <w:pPr>
              <w:pStyle w:val="ListParagraph"/>
              <w:numPr>
                <w:ilvl w:val="0"/>
                <w:numId w:val="49"/>
              </w:numPr>
              <w:rPr>
                <w:rFonts w:cstheme="minorHAnsi"/>
              </w:rPr>
            </w:pPr>
            <w:r w:rsidRPr="00057226">
              <w:rPr>
                <w:rFonts w:cstheme="minorHAnsi"/>
              </w:rPr>
              <w:t xml:space="preserve">Regulation (EU) No 648/2012 </w:t>
            </w:r>
            <w:r w:rsidRPr="00FD7D3C">
              <w:rPr>
                <w:rFonts w:cstheme="minorHAnsi"/>
              </w:rPr>
              <w:t>(</w:t>
            </w:r>
            <w:hyperlink r:id="rId27" w:history="1">
              <w:r w:rsidRPr="00FD7D3C">
                <w:rPr>
                  <w:rStyle w:val="Hyperlink"/>
                  <w:rFonts w:cstheme="minorHAnsi"/>
                </w:rPr>
                <w:t>EMIR</w:t>
              </w:r>
            </w:hyperlink>
            <w:r w:rsidRPr="00FD7D3C">
              <w:rPr>
                <w:rFonts w:cstheme="minorHAnsi"/>
              </w:rPr>
              <w:t>)</w:t>
            </w:r>
          </w:p>
          <w:p w14:paraId="26E30D81" w14:textId="5415E049" w:rsidR="00057226" w:rsidRDefault="00057226" w:rsidP="00057226">
            <w:pPr>
              <w:pStyle w:val="ListParagraph"/>
              <w:numPr>
                <w:ilvl w:val="0"/>
                <w:numId w:val="49"/>
              </w:numPr>
              <w:rPr>
                <w:rFonts w:cstheme="minorHAnsi"/>
              </w:rPr>
            </w:pPr>
            <w:r w:rsidRPr="00057226">
              <w:rPr>
                <w:rFonts w:cstheme="minorHAnsi"/>
              </w:rPr>
              <w:t>Regulation (EC) No 1606/2002</w:t>
            </w:r>
            <w:r w:rsidR="00FD7D3C">
              <w:rPr>
                <w:rFonts w:cstheme="minorHAnsi"/>
              </w:rPr>
              <w:t xml:space="preserve"> (</w:t>
            </w:r>
            <w:hyperlink r:id="rId28" w:history="1">
              <w:r w:rsidR="00FD7D3C" w:rsidRPr="00FD7D3C">
                <w:rPr>
                  <w:rStyle w:val="Hyperlink"/>
                  <w:rFonts w:cstheme="minorHAnsi"/>
                </w:rPr>
                <w:t>IAS</w:t>
              </w:r>
            </w:hyperlink>
            <w:r w:rsidR="00FD7D3C">
              <w:rPr>
                <w:rFonts w:cstheme="minorHAnsi"/>
              </w:rPr>
              <w:t>)</w:t>
            </w:r>
          </w:p>
          <w:p w14:paraId="7AACD3CE" w14:textId="0E3603F0" w:rsidR="00057226" w:rsidRDefault="00057226" w:rsidP="00057226">
            <w:pPr>
              <w:pStyle w:val="ListParagraph"/>
              <w:numPr>
                <w:ilvl w:val="0"/>
                <w:numId w:val="49"/>
              </w:numPr>
              <w:rPr>
                <w:rFonts w:cstheme="minorHAnsi"/>
              </w:rPr>
            </w:pPr>
            <w:r w:rsidRPr="00057226">
              <w:rPr>
                <w:rFonts w:cstheme="minorHAnsi"/>
              </w:rPr>
              <w:t>Directive (EU) 2016/2341 (</w:t>
            </w:r>
            <w:hyperlink r:id="rId29" w:history="1">
              <w:r w:rsidRPr="00FD7D3C">
                <w:rPr>
                  <w:rStyle w:val="Hyperlink"/>
                  <w:rFonts w:cstheme="minorHAnsi"/>
                </w:rPr>
                <w:t>IORPs</w:t>
              </w:r>
            </w:hyperlink>
            <w:r w:rsidRPr="00057226">
              <w:rPr>
                <w:rFonts w:cstheme="minorHAnsi"/>
              </w:rPr>
              <w:t xml:space="preserve">) </w:t>
            </w:r>
          </w:p>
          <w:p w14:paraId="79378106" w14:textId="4E2016CA" w:rsidR="00057226" w:rsidRDefault="00057226" w:rsidP="00057226">
            <w:pPr>
              <w:pStyle w:val="ListParagraph"/>
              <w:numPr>
                <w:ilvl w:val="0"/>
                <w:numId w:val="49"/>
              </w:numPr>
              <w:rPr>
                <w:rFonts w:cstheme="minorHAnsi"/>
              </w:rPr>
            </w:pPr>
            <w:r w:rsidRPr="00057226">
              <w:rPr>
                <w:rFonts w:cstheme="minorHAnsi"/>
              </w:rPr>
              <w:t>Directive (EU) 2015/849 (</w:t>
            </w:r>
            <w:hyperlink r:id="rId30" w:history="1">
              <w:r w:rsidRPr="00FD7D3C">
                <w:rPr>
                  <w:rStyle w:val="Hyperlink"/>
                  <w:rFonts w:cstheme="minorHAnsi"/>
                </w:rPr>
                <w:t>Fourth Anti-Money Laundering Directive</w:t>
              </w:r>
            </w:hyperlink>
            <w:r w:rsidRPr="00057226">
              <w:rPr>
                <w:rFonts w:cstheme="minorHAnsi"/>
              </w:rPr>
              <w:t xml:space="preserve">) </w:t>
            </w:r>
          </w:p>
          <w:p w14:paraId="2F2C8432" w14:textId="44FD9D68" w:rsidR="00057226" w:rsidRDefault="00057226" w:rsidP="00057226">
            <w:pPr>
              <w:pStyle w:val="ListParagraph"/>
              <w:numPr>
                <w:ilvl w:val="0"/>
                <w:numId w:val="49"/>
              </w:numPr>
              <w:rPr>
                <w:rFonts w:cstheme="minorHAnsi"/>
              </w:rPr>
            </w:pPr>
            <w:r w:rsidRPr="00057226">
              <w:rPr>
                <w:rFonts w:cstheme="minorHAnsi"/>
              </w:rPr>
              <w:t>Regulation (EU) No 1092/2010 (</w:t>
            </w:r>
            <w:hyperlink r:id="rId31" w:history="1">
              <w:r w:rsidRPr="00FD7D3C">
                <w:rPr>
                  <w:rStyle w:val="Hyperlink"/>
                  <w:rFonts w:cstheme="minorHAnsi"/>
                </w:rPr>
                <w:t>ESRB</w:t>
              </w:r>
            </w:hyperlink>
            <w:r w:rsidRPr="00057226">
              <w:rPr>
                <w:rFonts w:cstheme="minorHAnsi"/>
              </w:rPr>
              <w:t xml:space="preserve">) </w:t>
            </w:r>
          </w:p>
          <w:p w14:paraId="7478C0BE" w14:textId="45B142C0" w:rsidR="00C01AF9" w:rsidRPr="00057226" w:rsidRDefault="00057226" w:rsidP="00057226">
            <w:pPr>
              <w:pStyle w:val="ListParagraph"/>
              <w:numPr>
                <w:ilvl w:val="0"/>
                <w:numId w:val="49"/>
              </w:numPr>
              <w:rPr>
                <w:rFonts w:cstheme="minorHAnsi"/>
              </w:rPr>
            </w:pPr>
            <w:r w:rsidRPr="00057226">
              <w:rPr>
                <w:rFonts w:cstheme="minorHAnsi"/>
              </w:rPr>
              <w:t>Regulation</w:t>
            </w:r>
            <w:r>
              <w:rPr>
                <w:rFonts w:cstheme="minorHAnsi"/>
              </w:rPr>
              <w:t xml:space="preserve"> </w:t>
            </w:r>
            <w:r w:rsidRPr="00057226">
              <w:rPr>
                <w:rFonts w:cstheme="minorHAnsi"/>
              </w:rPr>
              <w:t>(EU) 2017/2402</w:t>
            </w:r>
            <w:r w:rsidR="00FD7D3C">
              <w:rPr>
                <w:rFonts w:cstheme="minorHAnsi"/>
              </w:rPr>
              <w:t xml:space="preserve"> (</w:t>
            </w:r>
            <w:hyperlink r:id="rId32" w:history="1">
              <w:r w:rsidR="00FD7D3C" w:rsidRPr="00FD7D3C">
                <w:rPr>
                  <w:rStyle w:val="Hyperlink"/>
                  <w:rFonts w:cstheme="minorHAnsi"/>
                </w:rPr>
                <w:t>STS</w:t>
              </w:r>
            </w:hyperlink>
            <w:r w:rsidR="00FD7D3C">
              <w:rPr>
                <w:rFonts w:cstheme="minorHAnsi"/>
              </w:rPr>
              <w:t>)</w:t>
            </w:r>
            <w:r w:rsidRPr="00057226">
              <w:rPr>
                <w:rFonts w:cstheme="minorHAnsi"/>
              </w:rPr>
              <w:t xml:space="preserve"> </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55A6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5366C" w:rsidRDefault="002F0752" w:rsidP="00CF2E7C">
            <w:pPr>
              <w:rPr>
                <w:rFonts w:ascii="Calibri" w:hAnsi="Calibri" w:cs="Calibri"/>
                <w:lang w:val="fr-FR"/>
              </w:rPr>
            </w:pPr>
            <w:r w:rsidRPr="0035366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5366C"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63D06" w14:textId="77777777" w:rsidR="00517CDB" w:rsidRDefault="00517CDB" w:rsidP="00874E39">
      <w:r>
        <w:separator/>
      </w:r>
    </w:p>
  </w:endnote>
  <w:endnote w:type="continuationSeparator" w:id="0">
    <w:p w14:paraId="34DDC13D" w14:textId="77777777" w:rsidR="00517CDB" w:rsidRDefault="00517CDB" w:rsidP="00874E39">
      <w:r>
        <w:continuationSeparator/>
      </w:r>
    </w:p>
  </w:endnote>
  <w:endnote w:type="continuationNotice" w:id="1">
    <w:p w14:paraId="6ECA9B7F" w14:textId="77777777" w:rsidR="00517CDB" w:rsidRDefault="00517C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63714" w14:textId="77777777" w:rsidR="00517CDB" w:rsidRDefault="00517CDB" w:rsidP="00874E39">
      <w:r>
        <w:separator/>
      </w:r>
    </w:p>
  </w:footnote>
  <w:footnote w:type="continuationSeparator" w:id="0">
    <w:p w14:paraId="1C08D511" w14:textId="77777777" w:rsidR="00517CDB" w:rsidRDefault="00517CDB" w:rsidP="00874E39">
      <w:r>
        <w:continuationSeparator/>
      </w:r>
    </w:p>
  </w:footnote>
  <w:footnote w:type="continuationNotice" w:id="1">
    <w:p w14:paraId="2A1C8B98" w14:textId="77777777" w:rsidR="00517CDB" w:rsidRDefault="00517C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E77FFB"/>
    <w:multiLevelType w:val="hybridMultilevel"/>
    <w:tmpl w:val="D40EA232"/>
    <w:lvl w:ilvl="0" w:tplc="C30AE7D8">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AA75C84"/>
    <w:multiLevelType w:val="hybridMultilevel"/>
    <w:tmpl w:val="2C006C80"/>
    <w:lvl w:ilvl="0" w:tplc="89FAA8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B747449"/>
    <w:multiLevelType w:val="hybridMultilevel"/>
    <w:tmpl w:val="15024990"/>
    <w:lvl w:ilvl="0" w:tplc="391C40BE">
      <w:start w:val="1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0"/>
  </w:num>
  <w:num w:numId="17" w16cid:durableId="1529031027">
    <w:abstractNumId w:val="8"/>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6"/>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2"/>
  </w:num>
  <w:num w:numId="29" w16cid:durableId="1632318729">
    <w:abstractNumId w:val="48"/>
  </w:num>
  <w:num w:numId="30" w16cid:durableId="1268124074">
    <w:abstractNumId w:val="35"/>
  </w:num>
  <w:num w:numId="31" w16cid:durableId="887108748">
    <w:abstractNumId w:val="31"/>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7"/>
  </w:num>
  <w:num w:numId="48" w16cid:durableId="318391343">
    <w:abstractNumId w:val="39"/>
  </w:num>
  <w:num w:numId="49" w16cid:durableId="1805459803">
    <w:abstractNumId w:val="14"/>
  </w:num>
  <w:num w:numId="50" w16cid:durableId="288703919">
    <w:abstractNumId w:val="32"/>
  </w:num>
  <w:num w:numId="51" w16cid:durableId="1170753375">
    <w:abstractNumId w:val="2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7E3"/>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22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EF0"/>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4F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9CE"/>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DF4"/>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55E"/>
    <w:rsid w:val="001C5947"/>
    <w:rsid w:val="001C5A18"/>
    <w:rsid w:val="001C5C5D"/>
    <w:rsid w:val="001C614E"/>
    <w:rsid w:val="001C669F"/>
    <w:rsid w:val="001D03D3"/>
    <w:rsid w:val="001D1453"/>
    <w:rsid w:val="001D1E48"/>
    <w:rsid w:val="001D1FF2"/>
    <w:rsid w:val="001D36D7"/>
    <w:rsid w:val="001D374C"/>
    <w:rsid w:val="001D54BD"/>
    <w:rsid w:val="001D5DD2"/>
    <w:rsid w:val="001D5F78"/>
    <w:rsid w:val="001D7A0B"/>
    <w:rsid w:val="001D7E76"/>
    <w:rsid w:val="001E19EF"/>
    <w:rsid w:val="001E1AB8"/>
    <w:rsid w:val="001E1CEE"/>
    <w:rsid w:val="001E1D2E"/>
    <w:rsid w:val="001E366D"/>
    <w:rsid w:val="001E4215"/>
    <w:rsid w:val="001E5EFB"/>
    <w:rsid w:val="001E63F2"/>
    <w:rsid w:val="001E7064"/>
    <w:rsid w:val="001E724E"/>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1AD"/>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19A"/>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D8"/>
    <w:rsid w:val="002737EF"/>
    <w:rsid w:val="00274335"/>
    <w:rsid w:val="00274864"/>
    <w:rsid w:val="00274B22"/>
    <w:rsid w:val="00277FC5"/>
    <w:rsid w:val="00280E4A"/>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434"/>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3DA"/>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CD5"/>
    <w:rsid w:val="002F1ABB"/>
    <w:rsid w:val="002F25F6"/>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66C"/>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1F0"/>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42F"/>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147"/>
    <w:rsid w:val="00486537"/>
    <w:rsid w:val="00486758"/>
    <w:rsid w:val="00486B53"/>
    <w:rsid w:val="00486C77"/>
    <w:rsid w:val="00487AFB"/>
    <w:rsid w:val="00490235"/>
    <w:rsid w:val="0049168C"/>
    <w:rsid w:val="004933C5"/>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17CDB"/>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0EC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139"/>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B55D3"/>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1FB5"/>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C60"/>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B7B"/>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7F6"/>
    <w:rsid w:val="00694A4F"/>
    <w:rsid w:val="00695F64"/>
    <w:rsid w:val="00696548"/>
    <w:rsid w:val="00696D68"/>
    <w:rsid w:val="006A00E0"/>
    <w:rsid w:val="006A103A"/>
    <w:rsid w:val="006A2168"/>
    <w:rsid w:val="006A21C6"/>
    <w:rsid w:val="006A308E"/>
    <w:rsid w:val="006A3518"/>
    <w:rsid w:val="006A4C24"/>
    <w:rsid w:val="006A4C9F"/>
    <w:rsid w:val="006A60D0"/>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A68"/>
    <w:rsid w:val="0075609B"/>
    <w:rsid w:val="00756E62"/>
    <w:rsid w:val="007600D1"/>
    <w:rsid w:val="007615D2"/>
    <w:rsid w:val="00763C64"/>
    <w:rsid w:val="00764D1A"/>
    <w:rsid w:val="00764DB3"/>
    <w:rsid w:val="00765130"/>
    <w:rsid w:val="007653FB"/>
    <w:rsid w:val="0076706A"/>
    <w:rsid w:val="0077017A"/>
    <w:rsid w:val="007710D7"/>
    <w:rsid w:val="00773639"/>
    <w:rsid w:val="00773FFB"/>
    <w:rsid w:val="00774353"/>
    <w:rsid w:val="00775056"/>
    <w:rsid w:val="007759A9"/>
    <w:rsid w:val="007759EF"/>
    <w:rsid w:val="00775C7B"/>
    <w:rsid w:val="00777550"/>
    <w:rsid w:val="00777BF4"/>
    <w:rsid w:val="00777E1D"/>
    <w:rsid w:val="007802C6"/>
    <w:rsid w:val="007807DE"/>
    <w:rsid w:val="0078189E"/>
    <w:rsid w:val="00782ABB"/>
    <w:rsid w:val="00782B03"/>
    <w:rsid w:val="00783F69"/>
    <w:rsid w:val="0078610D"/>
    <w:rsid w:val="007866CF"/>
    <w:rsid w:val="00786AC9"/>
    <w:rsid w:val="00786EC4"/>
    <w:rsid w:val="00791ED5"/>
    <w:rsid w:val="00792AC3"/>
    <w:rsid w:val="0079328D"/>
    <w:rsid w:val="007936B2"/>
    <w:rsid w:val="007936C6"/>
    <w:rsid w:val="007939C4"/>
    <w:rsid w:val="00794D7C"/>
    <w:rsid w:val="00795F60"/>
    <w:rsid w:val="007963A0"/>
    <w:rsid w:val="00796DBC"/>
    <w:rsid w:val="007976D7"/>
    <w:rsid w:val="007A24F7"/>
    <w:rsid w:val="007A316E"/>
    <w:rsid w:val="007A3D7B"/>
    <w:rsid w:val="007A426C"/>
    <w:rsid w:val="007A42F2"/>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3F57"/>
    <w:rsid w:val="007C5200"/>
    <w:rsid w:val="007C77AA"/>
    <w:rsid w:val="007D33C4"/>
    <w:rsid w:val="007D3472"/>
    <w:rsid w:val="007D35D2"/>
    <w:rsid w:val="007D366D"/>
    <w:rsid w:val="007D42B1"/>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02A"/>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27E0D"/>
    <w:rsid w:val="00831667"/>
    <w:rsid w:val="008318AE"/>
    <w:rsid w:val="00831C3E"/>
    <w:rsid w:val="008331E9"/>
    <w:rsid w:val="00833B6E"/>
    <w:rsid w:val="00833F13"/>
    <w:rsid w:val="00833FB6"/>
    <w:rsid w:val="00834370"/>
    <w:rsid w:val="008354C6"/>
    <w:rsid w:val="00835A06"/>
    <w:rsid w:val="00836174"/>
    <w:rsid w:val="00836AFC"/>
    <w:rsid w:val="008371EA"/>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2C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0E3"/>
    <w:rsid w:val="0089120B"/>
    <w:rsid w:val="008915CB"/>
    <w:rsid w:val="00891DBD"/>
    <w:rsid w:val="00892C3F"/>
    <w:rsid w:val="0089355A"/>
    <w:rsid w:val="00896A1E"/>
    <w:rsid w:val="00897600"/>
    <w:rsid w:val="008A0461"/>
    <w:rsid w:val="008A093D"/>
    <w:rsid w:val="008A1DDE"/>
    <w:rsid w:val="008A207F"/>
    <w:rsid w:val="008A28FE"/>
    <w:rsid w:val="008A345E"/>
    <w:rsid w:val="008A4685"/>
    <w:rsid w:val="008A4A26"/>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63C"/>
    <w:rsid w:val="008F27A6"/>
    <w:rsid w:val="008F28C7"/>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450D"/>
    <w:rsid w:val="00925FD2"/>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D4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4F3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AFD"/>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DD2"/>
    <w:rsid w:val="00A42235"/>
    <w:rsid w:val="00A42858"/>
    <w:rsid w:val="00A43199"/>
    <w:rsid w:val="00A43AFC"/>
    <w:rsid w:val="00A445CD"/>
    <w:rsid w:val="00A4519C"/>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0DE"/>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2E0"/>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C7A"/>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491"/>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DFF"/>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136"/>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849"/>
    <w:rsid w:val="00D510DA"/>
    <w:rsid w:val="00D53F8D"/>
    <w:rsid w:val="00D547E6"/>
    <w:rsid w:val="00D56EA7"/>
    <w:rsid w:val="00D57AD5"/>
    <w:rsid w:val="00D6003F"/>
    <w:rsid w:val="00D60275"/>
    <w:rsid w:val="00D637B2"/>
    <w:rsid w:val="00D6386F"/>
    <w:rsid w:val="00D645E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D01"/>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2A5"/>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9E3"/>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39D"/>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AC7"/>
    <w:rsid w:val="00F21C87"/>
    <w:rsid w:val="00F21D03"/>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1F1E"/>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B1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0A5"/>
    <w:rsid w:val="00FB5A70"/>
    <w:rsid w:val="00FC0689"/>
    <w:rsid w:val="00FC13F0"/>
    <w:rsid w:val="00FC337B"/>
    <w:rsid w:val="00FC5AA7"/>
    <w:rsid w:val="00FC6E48"/>
    <w:rsid w:val="00FD2AA6"/>
    <w:rsid w:val="00FD3587"/>
    <w:rsid w:val="00FD42FF"/>
    <w:rsid w:val="00FD4B6C"/>
    <w:rsid w:val="00FD5199"/>
    <w:rsid w:val="00FD7D3C"/>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FB8"/>
    <w:rsid w:val="00FE7713"/>
    <w:rsid w:val="00FE7C66"/>
    <w:rsid w:val="00FE7FA5"/>
    <w:rsid w:val="00FE94C6"/>
    <w:rsid w:val="00FF3644"/>
    <w:rsid w:val="00FF5D53"/>
    <w:rsid w:val="00FF61D0"/>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31460">
      <w:bodyDiv w:val="1"/>
      <w:marLeft w:val="0"/>
      <w:marRight w:val="0"/>
      <w:marTop w:val="0"/>
      <w:marBottom w:val="0"/>
      <w:divBdr>
        <w:top w:val="none" w:sz="0" w:space="0" w:color="auto"/>
        <w:left w:val="none" w:sz="0" w:space="0" w:color="auto"/>
        <w:bottom w:val="none" w:sz="0" w:space="0" w:color="auto"/>
        <w:right w:val="none" w:sz="0" w:space="0" w:color="auto"/>
      </w:divBdr>
    </w:div>
    <w:div w:id="35156143">
      <w:bodyDiv w:val="1"/>
      <w:marLeft w:val="0"/>
      <w:marRight w:val="0"/>
      <w:marTop w:val="0"/>
      <w:marBottom w:val="0"/>
      <w:divBdr>
        <w:top w:val="none" w:sz="0" w:space="0" w:color="auto"/>
        <w:left w:val="none" w:sz="0" w:space="0" w:color="auto"/>
        <w:bottom w:val="none" w:sz="0" w:space="0" w:color="auto"/>
        <w:right w:val="none" w:sz="0" w:space="0" w:color="auto"/>
      </w:divBdr>
      <w:divsChild>
        <w:div w:id="445849479">
          <w:marLeft w:val="0"/>
          <w:marRight w:val="0"/>
          <w:marTop w:val="0"/>
          <w:marBottom w:val="0"/>
          <w:divBdr>
            <w:top w:val="none" w:sz="0" w:space="0" w:color="auto"/>
            <w:left w:val="none" w:sz="0" w:space="0" w:color="auto"/>
            <w:bottom w:val="none" w:sz="0" w:space="0" w:color="auto"/>
            <w:right w:val="none" w:sz="0" w:space="0" w:color="auto"/>
          </w:divBdr>
        </w:div>
      </w:divsChild>
    </w:div>
    <w:div w:id="107555112">
      <w:bodyDiv w:val="1"/>
      <w:marLeft w:val="0"/>
      <w:marRight w:val="0"/>
      <w:marTop w:val="0"/>
      <w:marBottom w:val="0"/>
      <w:divBdr>
        <w:top w:val="none" w:sz="0" w:space="0" w:color="auto"/>
        <w:left w:val="none" w:sz="0" w:space="0" w:color="auto"/>
        <w:bottom w:val="none" w:sz="0" w:space="0" w:color="auto"/>
        <w:right w:val="none" w:sz="0" w:space="0" w:color="auto"/>
      </w:divBdr>
      <w:divsChild>
        <w:div w:id="416681828">
          <w:marLeft w:val="0"/>
          <w:marRight w:val="0"/>
          <w:marTop w:val="0"/>
          <w:marBottom w:val="0"/>
          <w:divBdr>
            <w:top w:val="none" w:sz="0" w:space="0" w:color="auto"/>
            <w:left w:val="none" w:sz="0" w:space="0" w:color="auto"/>
            <w:bottom w:val="none" w:sz="0" w:space="0" w:color="auto"/>
            <w:right w:val="none" w:sz="0" w:space="0" w:color="auto"/>
          </w:divBdr>
        </w:div>
      </w:divsChild>
    </w:div>
    <w:div w:id="156456699">
      <w:bodyDiv w:val="1"/>
      <w:marLeft w:val="0"/>
      <w:marRight w:val="0"/>
      <w:marTop w:val="0"/>
      <w:marBottom w:val="0"/>
      <w:divBdr>
        <w:top w:val="none" w:sz="0" w:space="0" w:color="auto"/>
        <w:left w:val="none" w:sz="0" w:space="0" w:color="auto"/>
        <w:bottom w:val="none" w:sz="0" w:space="0" w:color="auto"/>
        <w:right w:val="none" w:sz="0" w:space="0" w:color="auto"/>
      </w:divBdr>
      <w:divsChild>
        <w:div w:id="1677345103">
          <w:marLeft w:val="0"/>
          <w:marRight w:val="0"/>
          <w:marTop w:val="0"/>
          <w:marBottom w:val="0"/>
          <w:divBdr>
            <w:top w:val="none" w:sz="0" w:space="0" w:color="auto"/>
            <w:left w:val="none" w:sz="0" w:space="0" w:color="auto"/>
            <w:bottom w:val="none" w:sz="0" w:space="0" w:color="auto"/>
            <w:right w:val="none" w:sz="0" w:space="0" w:color="auto"/>
          </w:divBdr>
        </w:div>
      </w:divsChild>
    </w:div>
    <w:div w:id="227763241">
      <w:bodyDiv w:val="1"/>
      <w:marLeft w:val="0"/>
      <w:marRight w:val="0"/>
      <w:marTop w:val="0"/>
      <w:marBottom w:val="0"/>
      <w:divBdr>
        <w:top w:val="none" w:sz="0" w:space="0" w:color="auto"/>
        <w:left w:val="none" w:sz="0" w:space="0" w:color="auto"/>
        <w:bottom w:val="none" w:sz="0" w:space="0" w:color="auto"/>
        <w:right w:val="none" w:sz="0" w:space="0" w:color="auto"/>
      </w:divBdr>
      <w:divsChild>
        <w:div w:id="647972973">
          <w:marLeft w:val="0"/>
          <w:marRight w:val="0"/>
          <w:marTop w:val="0"/>
          <w:marBottom w:val="0"/>
          <w:divBdr>
            <w:top w:val="none" w:sz="0" w:space="0" w:color="auto"/>
            <w:left w:val="none" w:sz="0" w:space="0" w:color="auto"/>
            <w:bottom w:val="none" w:sz="0" w:space="0" w:color="auto"/>
            <w:right w:val="none" w:sz="0" w:space="0" w:color="auto"/>
          </w:divBdr>
        </w:div>
      </w:divsChild>
    </w:div>
    <w:div w:id="243494366">
      <w:bodyDiv w:val="1"/>
      <w:marLeft w:val="0"/>
      <w:marRight w:val="0"/>
      <w:marTop w:val="0"/>
      <w:marBottom w:val="0"/>
      <w:divBdr>
        <w:top w:val="none" w:sz="0" w:space="0" w:color="auto"/>
        <w:left w:val="none" w:sz="0" w:space="0" w:color="auto"/>
        <w:bottom w:val="none" w:sz="0" w:space="0" w:color="auto"/>
        <w:right w:val="none" w:sz="0" w:space="0" w:color="auto"/>
      </w:divBdr>
      <w:divsChild>
        <w:div w:id="1205556030">
          <w:marLeft w:val="0"/>
          <w:marRight w:val="0"/>
          <w:marTop w:val="0"/>
          <w:marBottom w:val="0"/>
          <w:divBdr>
            <w:top w:val="none" w:sz="0" w:space="0" w:color="auto"/>
            <w:left w:val="none" w:sz="0" w:space="0" w:color="auto"/>
            <w:bottom w:val="none" w:sz="0" w:space="0" w:color="auto"/>
            <w:right w:val="none" w:sz="0" w:space="0" w:color="auto"/>
          </w:divBdr>
        </w:div>
      </w:divsChild>
    </w:div>
    <w:div w:id="257759622">
      <w:bodyDiv w:val="1"/>
      <w:marLeft w:val="0"/>
      <w:marRight w:val="0"/>
      <w:marTop w:val="0"/>
      <w:marBottom w:val="0"/>
      <w:divBdr>
        <w:top w:val="none" w:sz="0" w:space="0" w:color="auto"/>
        <w:left w:val="none" w:sz="0" w:space="0" w:color="auto"/>
        <w:bottom w:val="none" w:sz="0" w:space="0" w:color="auto"/>
        <w:right w:val="none" w:sz="0" w:space="0" w:color="auto"/>
      </w:divBdr>
      <w:divsChild>
        <w:div w:id="797845747">
          <w:marLeft w:val="0"/>
          <w:marRight w:val="0"/>
          <w:marTop w:val="0"/>
          <w:marBottom w:val="0"/>
          <w:divBdr>
            <w:top w:val="none" w:sz="0" w:space="0" w:color="auto"/>
            <w:left w:val="none" w:sz="0" w:space="0" w:color="auto"/>
            <w:bottom w:val="none" w:sz="0" w:space="0" w:color="auto"/>
            <w:right w:val="none" w:sz="0" w:space="0" w:color="auto"/>
          </w:divBdr>
        </w:div>
      </w:divsChild>
    </w:div>
    <w:div w:id="342055676">
      <w:bodyDiv w:val="1"/>
      <w:marLeft w:val="0"/>
      <w:marRight w:val="0"/>
      <w:marTop w:val="0"/>
      <w:marBottom w:val="0"/>
      <w:divBdr>
        <w:top w:val="none" w:sz="0" w:space="0" w:color="auto"/>
        <w:left w:val="none" w:sz="0" w:space="0" w:color="auto"/>
        <w:bottom w:val="none" w:sz="0" w:space="0" w:color="auto"/>
        <w:right w:val="none" w:sz="0" w:space="0" w:color="auto"/>
      </w:divBdr>
      <w:divsChild>
        <w:div w:id="578634357">
          <w:marLeft w:val="0"/>
          <w:marRight w:val="0"/>
          <w:marTop w:val="0"/>
          <w:marBottom w:val="0"/>
          <w:divBdr>
            <w:top w:val="none" w:sz="0" w:space="0" w:color="auto"/>
            <w:left w:val="none" w:sz="0" w:space="0" w:color="auto"/>
            <w:bottom w:val="none" w:sz="0" w:space="0" w:color="auto"/>
            <w:right w:val="none" w:sz="0" w:space="0" w:color="auto"/>
          </w:divBdr>
        </w:div>
      </w:divsChild>
    </w:div>
    <w:div w:id="414136406">
      <w:bodyDiv w:val="1"/>
      <w:marLeft w:val="0"/>
      <w:marRight w:val="0"/>
      <w:marTop w:val="0"/>
      <w:marBottom w:val="0"/>
      <w:divBdr>
        <w:top w:val="none" w:sz="0" w:space="0" w:color="auto"/>
        <w:left w:val="none" w:sz="0" w:space="0" w:color="auto"/>
        <w:bottom w:val="none" w:sz="0" w:space="0" w:color="auto"/>
        <w:right w:val="none" w:sz="0" w:space="0" w:color="auto"/>
      </w:divBdr>
      <w:divsChild>
        <w:div w:id="1767191076">
          <w:marLeft w:val="0"/>
          <w:marRight w:val="0"/>
          <w:marTop w:val="0"/>
          <w:marBottom w:val="0"/>
          <w:divBdr>
            <w:top w:val="none" w:sz="0" w:space="0" w:color="auto"/>
            <w:left w:val="none" w:sz="0" w:space="0" w:color="auto"/>
            <w:bottom w:val="none" w:sz="0" w:space="0" w:color="auto"/>
            <w:right w:val="none" w:sz="0" w:space="0" w:color="auto"/>
          </w:divBdr>
        </w:div>
      </w:divsChild>
    </w:div>
    <w:div w:id="493836775">
      <w:bodyDiv w:val="1"/>
      <w:marLeft w:val="0"/>
      <w:marRight w:val="0"/>
      <w:marTop w:val="0"/>
      <w:marBottom w:val="0"/>
      <w:divBdr>
        <w:top w:val="none" w:sz="0" w:space="0" w:color="auto"/>
        <w:left w:val="none" w:sz="0" w:space="0" w:color="auto"/>
        <w:bottom w:val="none" w:sz="0" w:space="0" w:color="auto"/>
        <w:right w:val="none" w:sz="0" w:space="0" w:color="auto"/>
      </w:divBdr>
      <w:divsChild>
        <w:div w:id="1408923133">
          <w:marLeft w:val="0"/>
          <w:marRight w:val="0"/>
          <w:marTop w:val="0"/>
          <w:marBottom w:val="0"/>
          <w:divBdr>
            <w:top w:val="none" w:sz="0" w:space="0" w:color="auto"/>
            <w:left w:val="none" w:sz="0" w:space="0" w:color="auto"/>
            <w:bottom w:val="none" w:sz="0" w:space="0" w:color="auto"/>
            <w:right w:val="none" w:sz="0" w:space="0" w:color="auto"/>
          </w:divBdr>
        </w:div>
      </w:divsChild>
    </w:div>
    <w:div w:id="495995474">
      <w:bodyDiv w:val="1"/>
      <w:marLeft w:val="0"/>
      <w:marRight w:val="0"/>
      <w:marTop w:val="0"/>
      <w:marBottom w:val="0"/>
      <w:divBdr>
        <w:top w:val="none" w:sz="0" w:space="0" w:color="auto"/>
        <w:left w:val="none" w:sz="0" w:space="0" w:color="auto"/>
        <w:bottom w:val="none" w:sz="0" w:space="0" w:color="auto"/>
        <w:right w:val="none" w:sz="0" w:space="0" w:color="auto"/>
      </w:divBdr>
      <w:divsChild>
        <w:div w:id="617637332">
          <w:marLeft w:val="0"/>
          <w:marRight w:val="0"/>
          <w:marTop w:val="0"/>
          <w:marBottom w:val="0"/>
          <w:divBdr>
            <w:top w:val="none" w:sz="0" w:space="0" w:color="auto"/>
            <w:left w:val="none" w:sz="0" w:space="0" w:color="auto"/>
            <w:bottom w:val="none" w:sz="0" w:space="0" w:color="auto"/>
            <w:right w:val="none" w:sz="0" w:space="0" w:color="auto"/>
          </w:divBdr>
        </w:div>
      </w:divsChild>
    </w:div>
    <w:div w:id="540627867">
      <w:bodyDiv w:val="1"/>
      <w:marLeft w:val="0"/>
      <w:marRight w:val="0"/>
      <w:marTop w:val="0"/>
      <w:marBottom w:val="0"/>
      <w:divBdr>
        <w:top w:val="none" w:sz="0" w:space="0" w:color="auto"/>
        <w:left w:val="none" w:sz="0" w:space="0" w:color="auto"/>
        <w:bottom w:val="none" w:sz="0" w:space="0" w:color="auto"/>
        <w:right w:val="none" w:sz="0" w:space="0" w:color="auto"/>
      </w:divBdr>
      <w:divsChild>
        <w:div w:id="2125032536">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9335762">
      <w:bodyDiv w:val="1"/>
      <w:marLeft w:val="0"/>
      <w:marRight w:val="0"/>
      <w:marTop w:val="0"/>
      <w:marBottom w:val="0"/>
      <w:divBdr>
        <w:top w:val="none" w:sz="0" w:space="0" w:color="auto"/>
        <w:left w:val="none" w:sz="0" w:space="0" w:color="auto"/>
        <w:bottom w:val="none" w:sz="0" w:space="0" w:color="auto"/>
        <w:right w:val="none" w:sz="0" w:space="0" w:color="auto"/>
      </w:divBdr>
      <w:divsChild>
        <w:div w:id="1019501655">
          <w:marLeft w:val="0"/>
          <w:marRight w:val="0"/>
          <w:marTop w:val="0"/>
          <w:marBottom w:val="0"/>
          <w:divBdr>
            <w:top w:val="none" w:sz="0" w:space="0" w:color="auto"/>
            <w:left w:val="none" w:sz="0" w:space="0" w:color="auto"/>
            <w:bottom w:val="none" w:sz="0" w:space="0" w:color="auto"/>
            <w:right w:val="none" w:sz="0" w:space="0" w:color="auto"/>
          </w:divBdr>
        </w:div>
      </w:divsChild>
    </w:div>
    <w:div w:id="715155409">
      <w:bodyDiv w:val="1"/>
      <w:marLeft w:val="0"/>
      <w:marRight w:val="0"/>
      <w:marTop w:val="0"/>
      <w:marBottom w:val="0"/>
      <w:divBdr>
        <w:top w:val="none" w:sz="0" w:space="0" w:color="auto"/>
        <w:left w:val="none" w:sz="0" w:space="0" w:color="auto"/>
        <w:bottom w:val="none" w:sz="0" w:space="0" w:color="auto"/>
        <w:right w:val="none" w:sz="0" w:space="0" w:color="auto"/>
      </w:divBdr>
      <w:divsChild>
        <w:div w:id="919947023">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684422">
      <w:bodyDiv w:val="1"/>
      <w:marLeft w:val="0"/>
      <w:marRight w:val="0"/>
      <w:marTop w:val="0"/>
      <w:marBottom w:val="0"/>
      <w:divBdr>
        <w:top w:val="none" w:sz="0" w:space="0" w:color="auto"/>
        <w:left w:val="none" w:sz="0" w:space="0" w:color="auto"/>
        <w:bottom w:val="none" w:sz="0" w:space="0" w:color="auto"/>
        <w:right w:val="none" w:sz="0" w:space="0" w:color="auto"/>
      </w:divBdr>
      <w:divsChild>
        <w:div w:id="478502223">
          <w:marLeft w:val="0"/>
          <w:marRight w:val="0"/>
          <w:marTop w:val="0"/>
          <w:marBottom w:val="0"/>
          <w:divBdr>
            <w:top w:val="none" w:sz="0" w:space="0" w:color="auto"/>
            <w:left w:val="none" w:sz="0" w:space="0" w:color="auto"/>
            <w:bottom w:val="none" w:sz="0" w:space="0" w:color="auto"/>
            <w:right w:val="none" w:sz="0" w:space="0" w:color="auto"/>
          </w:divBdr>
        </w:div>
      </w:divsChild>
    </w:div>
    <w:div w:id="1092434549">
      <w:bodyDiv w:val="1"/>
      <w:marLeft w:val="0"/>
      <w:marRight w:val="0"/>
      <w:marTop w:val="0"/>
      <w:marBottom w:val="0"/>
      <w:divBdr>
        <w:top w:val="none" w:sz="0" w:space="0" w:color="auto"/>
        <w:left w:val="none" w:sz="0" w:space="0" w:color="auto"/>
        <w:bottom w:val="none" w:sz="0" w:space="0" w:color="auto"/>
        <w:right w:val="none" w:sz="0" w:space="0" w:color="auto"/>
      </w:divBdr>
      <w:divsChild>
        <w:div w:id="1017854358">
          <w:marLeft w:val="0"/>
          <w:marRight w:val="0"/>
          <w:marTop w:val="0"/>
          <w:marBottom w:val="0"/>
          <w:divBdr>
            <w:top w:val="none" w:sz="0" w:space="0" w:color="auto"/>
            <w:left w:val="none" w:sz="0" w:space="0" w:color="auto"/>
            <w:bottom w:val="none" w:sz="0" w:space="0" w:color="auto"/>
            <w:right w:val="none" w:sz="0" w:space="0" w:color="auto"/>
          </w:divBdr>
        </w:div>
      </w:divsChild>
    </w:div>
    <w:div w:id="1122652799">
      <w:bodyDiv w:val="1"/>
      <w:marLeft w:val="0"/>
      <w:marRight w:val="0"/>
      <w:marTop w:val="0"/>
      <w:marBottom w:val="0"/>
      <w:divBdr>
        <w:top w:val="none" w:sz="0" w:space="0" w:color="auto"/>
        <w:left w:val="none" w:sz="0" w:space="0" w:color="auto"/>
        <w:bottom w:val="none" w:sz="0" w:space="0" w:color="auto"/>
        <w:right w:val="none" w:sz="0" w:space="0" w:color="auto"/>
      </w:divBdr>
      <w:divsChild>
        <w:div w:id="1805197970">
          <w:marLeft w:val="0"/>
          <w:marRight w:val="0"/>
          <w:marTop w:val="0"/>
          <w:marBottom w:val="0"/>
          <w:divBdr>
            <w:top w:val="none" w:sz="0" w:space="0" w:color="auto"/>
            <w:left w:val="none" w:sz="0" w:space="0" w:color="auto"/>
            <w:bottom w:val="none" w:sz="0" w:space="0" w:color="auto"/>
            <w:right w:val="none" w:sz="0" w:space="0" w:color="auto"/>
          </w:divBdr>
        </w:div>
      </w:divsChild>
    </w:div>
    <w:div w:id="1166480360">
      <w:bodyDiv w:val="1"/>
      <w:marLeft w:val="0"/>
      <w:marRight w:val="0"/>
      <w:marTop w:val="0"/>
      <w:marBottom w:val="0"/>
      <w:divBdr>
        <w:top w:val="none" w:sz="0" w:space="0" w:color="auto"/>
        <w:left w:val="none" w:sz="0" w:space="0" w:color="auto"/>
        <w:bottom w:val="none" w:sz="0" w:space="0" w:color="auto"/>
        <w:right w:val="none" w:sz="0" w:space="0" w:color="auto"/>
      </w:divBdr>
      <w:divsChild>
        <w:div w:id="577403484">
          <w:marLeft w:val="0"/>
          <w:marRight w:val="0"/>
          <w:marTop w:val="0"/>
          <w:marBottom w:val="0"/>
          <w:divBdr>
            <w:top w:val="none" w:sz="0" w:space="0" w:color="auto"/>
            <w:left w:val="none" w:sz="0" w:space="0" w:color="auto"/>
            <w:bottom w:val="none" w:sz="0" w:space="0" w:color="auto"/>
            <w:right w:val="none" w:sz="0" w:space="0" w:color="auto"/>
          </w:divBdr>
        </w:div>
      </w:divsChild>
    </w:div>
    <w:div w:id="1201480508">
      <w:bodyDiv w:val="1"/>
      <w:marLeft w:val="0"/>
      <w:marRight w:val="0"/>
      <w:marTop w:val="0"/>
      <w:marBottom w:val="0"/>
      <w:divBdr>
        <w:top w:val="none" w:sz="0" w:space="0" w:color="auto"/>
        <w:left w:val="none" w:sz="0" w:space="0" w:color="auto"/>
        <w:bottom w:val="none" w:sz="0" w:space="0" w:color="auto"/>
        <w:right w:val="none" w:sz="0" w:space="0" w:color="auto"/>
      </w:divBdr>
      <w:divsChild>
        <w:div w:id="1918518812">
          <w:marLeft w:val="0"/>
          <w:marRight w:val="0"/>
          <w:marTop w:val="0"/>
          <w:marBottom w:val="0"/>
          <w:divBdr>
            <w:top w:val="none" w:sz="0" w:space="0" w:color="auto"/>
            <w:left w:val="none" w:sz="0" w:space="0" w:color="auto"/>
            <w:bottom w:val="none" w:sz="0" w:space="0" w:color="auto"/>
            <w:right w:val="none" w:sz="0" w:space="0" w:color="auto"/>
          </w:divBdr>
        </w:div>
      </w:divsChild>
    </w:div>
    <w:div w:id="1201674206">
      <w:bodyDiv w:val="1"/>
      <w:marLeft w:val="0"/>
      <w:marRight w:val="0"/>
      <w:marTop w:val="0"/>
      <w:marBottom w:val="0"/>
      <w:divBdr>
        <w:top w:val="none" w:sz="0" w:space="0" w:color="auto"/>
        <w:left w:val="none" w:sz="0" w:space="0" w:color="auto"/>
        <w:bottom w:val="none" w:sz="0" w:space="0" w:color="auto"/>
        <w:right w:val="none" w:sz="0" w:space="0" w:color="auto"/>
      </w:divBdr>
      <w:divsChild>
        <w:div w:id="1877035835">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33827">
      <w:bodyDiv w:val="1"/>
      <w:marLeft w:val="0"/>
      <w:marRight w:val="0"/>
      <w:marTop w:val="0"/>
      <w:marBottom w:val="0"/>
      <w:divBdr>
        <w:top w:val="none" w:sz="0" w:space="0" w:color="auto"/>
        <w:left w:val="none" w:sz="0" w:space="0" w:color="auto"/>
        <w:bottom w:val="none" w:sz="0" w:space="0" w:color="auto"/>
        <w:right w:val="none" w:sz="0" w:space="0" w:color="auto"/>
      </w:divBdr>
      <w:divsChild>
        <w:div w:id="2131703277">
          <w:marLeft w:val="0"/>
          <w:marRight w:val="0"/>
          <w:marTop w:val="0"/>
          <w:marBottom w:val="0"/>
          <w:divBdr>
            <w:top w:val="none" w:sz="0" w:space="0" w:color="auto"/>
            <w:left w:val="none" w:sz="0" w:space="0" w:color="auto"/>
            <w:bottom w:val="none" w:sz="0" w:space="0" w:color="auto"/>
            <w:right w:val="none" w:sz="0" w:space="0" w:color="auto"/>
          </w:divBdr>
        </w:div>
      </w:divsChild>
    </w:div>
    <w:div w:id="1274168184">
      <w:bodyDiv w:val="1"/>
      <w:marLeft w:val="0"/>
      <w:marRight w:val="0"/>
      <w:marTop w:val="0"/>
      <w:marBottom w:val="0"/>
      <w:divBdr>
        <w:top w:val="none" w:sz="0" w:space="0" w:color="auto"/>
        <w:left w:val="none" w:sz="0" w:space="0" w:color="auto"/>
        <w:bottom w:val="none" w:sz="0" w:space="0" w:color="auto"/>
        <w:right w:val="none" w:sz="0" w:space="0" w:color="auto"/>
      </w:divBdr>
      <w:divsChild>
        <w:div w:id="1588536498">
          <w:marLeft w:val="0"/>
          <w:marRight w:val="0"/>
          <w:marTop w:val="0"/>
          <w:marBottom w:val="0"/>
          <w:divBdr>
            <w:top w:val="none" w:sz="0" w:space="0" w:color="auto"/>
            <w:left w:val="none" w:sz="0" w:space="0" w:color="auto"/>
            <w:bottom w:val="none" w:sz="0" w:space="0" w:color="auto"/>
            <w:right w:val="none" w:sz="0" w:space="0" w:color="auto"/>
          </w:divBdr>
        </w:div>
      </w:divsChild>
    </w:div>
    <w:div w:id="1290435733">
      <w:bodyDiv w:val="1"/>
      <w:marLeft w:val="0"/>
      <w:marRight w:val="0"/>
      <w:marTop w:val="0"/>
      <w:marBottom w:val="0"/>
      <w:divBdr>
        <w:top w:val="none" w:sz="0" w:space="0" w:color="auto"/>
        <w:left w:val="none" w:sz="0" w:space="0" w:color="auto"/>
        <w:bottom w:val="none" w:sz="0" w:space="0" w:color="auto"/>
        <w:right w:val="none" w:sz="0" w:space="0" w:color="auto"/>
      </w:divBdr>
      <w:divsChild>
        <w:div w:id="1578856204">
          <w:marLeft w:val="0"/>
          <w:marRight w:val="0"/>
          <w:marTop w:val="0"/>
          <w:marBottom w:val="0"/>
          <w:divBdr>
            <w:top w:val="none" w:sz="0" w:space="0" w:color="auto"/>
            <w:left w:val="none" w:sz="0" w:space="0" w:color="auto"/>
            <w:bottom w:val="none" w:sz="0" w:space="0" w:color="auto"/>
            <w:right w:val="none" w:sz="0" w:space="0" w:color="auto"/>
          </w:divBdr>
        </w:div>
      </w:divsChild>
    </w:div>
    <w:div w:id="1308507991">
      <w:bodyDiv w:val="1"/>
      <w:marLeft w:val="0"/>
      <w:marRight w:val="0"/>
      <w:marTop w:val="0"/>
      <w:marBottom w:val="0"/>
      <w:divBdr>
        <w:top w:val="none" w:sz="0" w:space="0" w:color="auto"/>
        <w:left w:val="none" w:sz="0" w:space="0" w:color="auto"/>
        <w:bottom w:val="none" w:sz="0" w:space="0" w:color="auto"/>
        <w:right w:val="none" w:sz="0" w:space="0" w:color="auto"/>
      </w:divBdr>
      <w:divsChild>
        <w:div w:id="2004429472">
          <w:marLeft w:val="0"/>
          <w:marRight w:val="0"/>
          <w:marTop w:val="0"/>
          <w:marBottom w:val="0"/>
          <w:divBdr>
            <w:top w:val="none" w:sz="0" w:space="0" w:color="auto"/>
            <w:left w:val="none" w:sz="0" w:space="0" w:color="auto"/>
            <w:bottom w:val="none" w:sz="0" w:space="0" w:color="auto"/>
            <w:right w:val="none" w:sz="0" w:space="0" w:color="auto"/>
          </w:divBdr>
        </w:div>
      </w:divsChild>
    </w:div>
    <w:div w:id="1320039056">
      <w:bodyDiv w:val="1"/>
      <w:marLeft w:val="0"/>
      <w:marRight w:val="0"/>
      <w:marTop w:val="0"/>
      <w:marBottom w:val="0"/>
      <w:divBdr>
        <w:top w:val="none" w:sz="0" w:space="0" w:color="auto"/>
        <w:left w:val="none" w:sz="0" w:space="0" w:color="auto"/>
        <w:bottom w:val="none" w:sz="0" w:space="0" w:color="auto"/>
        <w:right w:val="none" w:sz="0" w:space="0" w:color="auto"/>
      </w:divBdr>
      <w:divsChild>
        <w:div w:id="437334372">
          <w:marLeft w:val="0"/>
          <w:marRight w:val="0"/>
          <w:marTop w:val="0"/>
          <w:marBottom w:val="0"/>
          <w:divBdr>
            <w:top w:val="none" w:sz="0" w:space="0" w:color="auto"/>
            <w:left w:val="none" w:sz="0" w:space="0" w:color="auto"/>
            <w:bottom w:val="none" w:sz="0" w:space="0" w:color="auto"/>
            <w:right w:val="none" w:sz="0" w:space="0" w:color="auto"/>
          </w:divBdr>
        </w:div>
      </w:divsChild>
    </w:div>
    <w:div w:id="1336154212">
      <w:bodyDiv w:val="1"/>
      <w:marLeft w:val="0"/>
      <w:marRight w:val="0"/>
      <w:marTop w:val="0"/>
      <w:marBottom w:val="0"/>
      <w:divBdr>
        <w:top w:val="none" w:sz="0" w:space="0" w:color="auto"/>
        <w:left w:val="none" w:sz="0" w:space="0" w:color="auto"/>
        <w:bottom w:val="none" w:sz="0" w:space="0" w:color="auto"/>
        <w:right w:val="none" w:sz="0" w:space="0" w:color="auto"/>
      </w:divBdr>
      <w:divsChild>
        <w:div w:id="1380058134">
          <w:marLeft w:val="0"/>
          <w:marRight w:val="0"/>
          <w:marTop w:val="0"/>
          <w:marBottom w:val="0"/>
          <w:divBdr>
            <w:top w:val="none" w:sz="0" w:space="0" w:color="auto"/>
            <w:left w:val="none" w:sz="0" w:space="0" w:color="auto"/>
            <w:bottom w:val="none" w:sz="0" w:space="0" w:color="auto"/>
            <w:right w:val="none" w:sz="0" w:space="0" w:color="auto"/>
          </w:divBdr>
        </w:div>
      </w:divsChild>
    </w:div>
    <w:div w:id="1360473948">
      <w:bodyDiv w:val="1"/>
      <w:marLeft w:val="0"/>
      <w:marRight w:val="0"/>
      <w:marTop w:val="0"/>
      <w:marBottom w:val="0"/>
      <w:divBdr>
        <w:top w:val="none" w:sz="0" w:space="0" w:color="auto"/>
        <w:left w:val="none" w:sz="0" w:space="0" w:color="auto"/>
        <w:bottom w:val="none" w:sz="0" w:space="0" w:color="auto"/>
        <w:right w:val="none" w:sz="0" w:space="0" w:color="auto"/>
      </w:divBdr>
      <w:divsChild>
        <w:div w:id="932013739">
          <w:marLeft w:val="0"/>
          <w:marRight w:val="0"/>
          <w:marTop w:val="0"/>
          <w:marBottom w:val="0"/>
          <w:divBdr>
            <w:top w:val="none" w:sz="0" w:space="0" w:color="auto"/>
            <w:left w:val="none" w:sz="0" w:space="0" w:color="auto"/>
            <w:bottom w:val="none" w:sz="0" w:space="0" w:color="auto"/>
            <w:right w:val="none" w:sz="0" w:space="0" w:color="auto"/>
          </w:divBdr>
        </w:div>
      </w:divsChild>
    </w:div>
    <w:div w:id="1369453459">
      <w:bodyDiv w:val="1"/>
      <w:marLeft w:val="0"/>
      <w:marRight w:val="0"/>
      <w:marTop w:val="0"/>
      <w:marBottom w:val="0"/>
      <w:divBdr>
        <w:top w:val="none" w:sz="0" w:space="0" w:color="auto"/>
        <w:left w:val="none" w:sz="0" w:space="0" w:color="auto"/>
        <w:bottom w:val="none" w:sz="0" w:space="0" w:color="auto"/>
        <w:right w:val="none" w:sz="0" w:space="0" w:color="auto"/>
      </w:divBdr>
      <w:divsChild>
        <w:div w:id="401224766">
          <w:marLeft w:val="0"/>
          <w:marRight w:val="0"/>
          <w:marTop w:val="0"/>
          <w:marBottom w:val="0"/>
          <w:divBdr>
            <w:top w:val="none" w:sz="0" w:space="0" w:color="auto"/>
            <w:left w:val="none" w:sz="0" w:space="0" w:color="auto"/>
            <w:bottom w:val="none" w:sz="0" w:space="0" w:color="auto"/>
            <w:right w:val="none" w:sz="0" w:space="0" w:color="auto"/>
          </w:divBdr>
        </w:div>
      </w:divsChild>
    </w:div>
    <w:div w:id="1411077642">
      <w:bodyDiv w:val="1"/>
      <w:marLeft w:val="0"/>
      <w:marRight w:val="0"/>
      <w:marTop w:val="0"/>
      <w:marBottom w:val="0"/>
      <w:divBdr>
        <w:top w:val="none" w:sz="0" w:space="0" w:color="auto"/>
        <w:left w:val="none" w:sz="0" w:space="0" w:color="auto"/>
        <w:bottom w:val="none" w:sz="0" w:space="0" w:color="auto"/>
        <w:right w:val="none" w:sz="0" w:space="0" w:color="auto"/>
      </w:divBdr>
      <w:divsChild>
        <w:div w:id="1873807820">
          <w:marLeft w:val="0"/>
          <w:marRight w:val="0"/>
          <w:marTop w:val="0"/>
          <w:marBottom w:val="0"/>
          <w:divBdr>
            <w:top w:val="none" w:sz="0" w:space="0" w:color="auto"/>
            <w:left w:val="none" w:sz="0" w:space="0" w:color="auto"/>
            <w:bottom w:val="none" w:sz="0" w:space="0" w:color="auto"/>
            <w:right w:val="none" w:sz="0" w:space="0" w:color="auto"/>
          </w:divBdr>
        </w:div>
      </w:divsChild>
    </w:div>
    <w:div w:id="1447382869">
      <w:bodyDiv w:val="1"/>
      <w:marLeft w:val="0"/>
      <w:marRight w:val="0"/>
      <w:marTop w:val="0"/>
      <w:marBottom w:val="0"/>
      <w:divBdr>
        <w:top w:val="none" w:sz="0" w:space="0" w:color="auto"/>
        <w:left w:val="none" w:sz="0" w:space="0" w:color="auto"/>
        <w:bottom w:val="none" w:sz="0" w:space="0" w:color="auto"/>
        <w:right w:val="none" w:sz="0" w:space="0" w:color="auto"/>
      </w:divBdr>
      <w:divsChild>
        <w:div w:id="1977561887">
          <w:marLeft w:val="0"/>
          <w:marRight w:val="0"/>
          <w:marTop w:val="0"/>
          <w:marBottom w:val="0"/>
          <w:divBdr>
            <w:top w:val="none" w:sz="0" w:space="0" w:color="auto"/>
            <w:left w:val="none" w:sz="0" w:space="0" w:color="auto"/>
            <w:bottom w:val="none" w:sz="0" w:space="0" w:color="auto"/>
            <w:right w:val="none" w:sz="0" w:space="0" w:color="auto"/>
          </w:divBdr>
        </w:div>
      </w:divsChild>
    </w:div>
    <w:div w:id="1496413521">
      <w:bodyDiv w:val="1"/>
      <w:marLeft w:val="0"/>
      <w:marRight w:val="0"/>
      <w:marTop w:val="0"/>
      <w:marBottom w:val="0"/>
      <w:divBdr>
        <w:top w:val="none" w:sz="0" w:space="0" w:color="auto"/>
        <w:left w:val="none" w:sz="0" w:space="0" w:color="auto"/>
        <w:bottom w:val="none" w:sz="0" w:space="0" w:color="auto"/>
        <w:right w:val="none" w:sz="0" w:space="0" w:color="auto"/>
      </w:divBdr>
      <w:divsChild>
        <w:div w:id="1290014353">
          <w:marLeft w:val="0"/>
          <w:marRight w:val="0"/>
          <w:marTop w:val="0"/>
          <w:marBottom w:val="0"/>
          <w:divBdr>
            <w:top w:val="none" w:sz="0" w:space="0" w:color="auto"/>
            <w:left w:val="none" w:sz="0" w:space="0" w:color="auto"/>
            <w:bottom w:val="none" w:sz="0" w:space="0" w:color="auto"/>
            <w:right w:val="none" w:sz="0" w:space="0" w:color="auto"/>
          </w:divBdr>
        </w:div>
      </w:divsChild>
    </w:div>
    <w:div w:id="1518501268">
      <w:bodyDiv w:val="1"/>
      <w:marLeft w:val="0"/>
      <w:marRight w:val="0"/>
      <w:marTop w:val="0"/>
      <w:marBottom w:val="0"/>
      <w:divBdr>
        <w:top w:val="none" w:sz="0" w:space="0" w:color="auto"/>
        <w:left w:val="none" w:sz="0" w:space="0" w:color="auto"/>
        <w:bottom w:val="none" w:sz="0" w:space="0" w:color="auto"/>
        <w:right w:val="none" w:sz="0" w:space="0" w:color="auto"/>
      </w:divBdr>
      <w:divsChild>
        <w:div w:id="1349483824">
          <w:marLeft w:val="0"/>
          <w:marRight w:val="0"/>
          <w:marTop w:val="0"/>
          <w:marBottom w:val="0"/>
          <w:divBdr>
            <w:top w:val="none" w:sz="0" w:space="0" w:color="auto"/>
            <w:left w:val="none" w:sz="0" w:space="0" w:color="auto"/>
            <w:bottom w:val="none" w:sz="0" w:space="0" w:color="auto"/>
            <w:right w:val="none" w:sz="0" w:space="0" w:color="auto"/>
          </w:divBdr>
        </w:div>
      </w:divsChild>
    </w:div>
    <w:div w:id="1566375974">
      <w:bodyDiv w:val="1"/>
      <w:marLeft w:val="0"/>
      <w:marRight w:val="0"/>
      <w:marTop w:val="0"/>
      <w:marBottom w:val="0"/>
      <w:divBdr>
        <w:top w:val="none" w:sz="0" w:space="0" w:color="auto"/>
        <w:left w:val="none" w:sz="0" w:space="0" w:color="auto"/>
        <w:bottom w:val="none" w:sz="0" w:space="0" w:color="auto"/>
        <w:right w:val="none" w:sz="0" w:space="0" w:color="auto"/>
      </w:divBdr>
      <w:divsChild>
        <w:div w:id="1148861907">
          <w:marLeft w:val="0"/>
          <w:marRight w:val="0"/>
          <w:marTop w:val="0"/>
          <w:marBottom w:val="0"/>
          <w:divBdr>
            <w:top w:val="none" w:sz="0" w:space="0" w:color="auto"/>
            <w:left w:val="none" w:sz="0" w:space="0" w:color="auto"/>
            <w:bottom w:val="none" w:sz="0" w:space="0" w:color="auto"/>
            <w:right w:val="none" w:sz="0" w:space="0" w:color="auto"/>
          </w:divBdr>
        </w:div>
      </w:divsChild>
    </w:div>
    <w:div w:id="1618490546">
      <w:bodyDiv w:val="1"/>
      <w:marLeft w:val="0"/>
      <w:marRight w:val="0"/>
      <w:marTop w:val="0"/>
      <w:marBottom w:val="0"/>
      <w:divBdr>
        <w:top w:val="none" w:sz="0" w:space="0" w:color="auto"/>
        <w:left w:val="none" w:sz="0" w:space="0" w:color="auto"/>
        <w:bottom w:val="none" w:sz="0" w:space="0" w:color="auto"/>
        <w:right w:val="none" w:sz="0" w:space="0" w:color="auto"/>
      </w:divBdr>
      <w:divsChild>
        <w:div w:id="147325688">
          <w:marLeft w:val="0"/>
          <w:marRight w:val="0"/>
          <w:marTop w:val="0"/>
          <w:marBottom w:val="0"/>
          <w:divBdr>
            <w:top w:val="none" w:sz="0" w:space="0" w:color="auto"/>
            <w:left w:val="none" w:sz="0" w:space="0" w:color="auto"/>
            <w:bottom w:val="none" w:sz="0" w:space="0" w:color="auto"/>
            <w:right w:val="none" w:sz="0" w:space="0" w:color="auto"/>
          </w:divBdr>
        </w:div>
      </w:divsChild>
    </w:div>
    <w:div w:id="1709256311">
      <w:bodyDiv w:val="1"/>
      <w:marLeft w:val="0"/>
      <w:marRight w:val="0"/>
      <w:marTop w:val="0"/>
      <w:marBottom w:val="0"/>
      <w:divBdr>
        <w:top w:val="none" w:sz="0" w:space="0" w:color="auto"/>
        <w:left w:val="none" w:sz="0" w:space="0" w:color="auto"/>
        <w:bottom w:val="none" w:sz="0" w:space="0" w:color="auto"/>
        <w:right w:val="none" w:sz="0" w:space="0" w:color="auto"/>
      </w:divBdr>
      <w:divsChild>
        <w:div w:id="541283553">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87852066">
      <w:bodyDiv w:val="1"/>
      <w:marLeft w:val="0"/>
      <w:marRight w:val="0"/>
      <w:marTop w:val="0"/>
      <w:marBottom w:val="0"/>
      <w:divBdr>
        <w:top w:val="none" w:sz="0" w:space="0" w:color="auto"/>
        <w:left w:val="none" w:sz="0" w:space="0" w:color="auto"/>
        <w:bottom w:val="none" w:sz="0" w:space="0" w:color="auto"/>
        <w:right w:val="none" w:sz="0" w:space="0" w:color="auto"/>
      </w:divBdr>
      <w:divsChild>
        <w:div w:id="2065594566">
          <w:marLeft w:val="0"/>
          <w:marRight w:val="0"/>
          <w:marTop w:val="0"/>
          <w:marBottom w:val="0"/>
          <w:divBdr>
            <w:top w:val="none" w:sz="0" w:space="0" w:color="auto"/>
            <w:left w:val="none" w:sz="0" w:space="0" w:color="auto"/>
            <w:bottom w:val="none" w:sz="0" w:space="0" w:color="auto"/>
            <w:right w:val="none" w:sz="0" w:space="0" w:color="auto"/>
          </w:divBdr>
          <w:divsChild>
            <w:div w:id="234435441">
              <w:marLeft w:val="0"/>
              <w:marRight w:val="0"/>
              <w:marTop w:val="0"/>
              <w:marBottom w:val="0"/>
              <w:divBdr>
                <w:top w:val="none" w:sz="0" w:space="0" w:color="auto"/>
                <w:left w:val="none" w:sz="0" w:space="0" w:color="auto"/>
                <w:bottom w:val="none" w:sz="0" w:space="0" w:color="auto"/>
                <w:right w:val="none" w:sz="0" w:space="0" w:color="auto"/>
              </w:divBdr>
              <w:divsChild>
                <w:div w:id="2139493598">
                  <w:marLeft w:val="0"/>
                  <w:marRight w:val="0"/>
                  <w:marTop w:val="0"/>
                  <w:marBottom w:val="0"/>
                  <w:divBdr>
                    <w:top w:val="none" w:sz="0" w:space="0" w:color="auto"/>
                    <w:left w:val="none" w:sz="0" w:space="0" w:color="auto"/>
                    <w:bottom w:val="none" w:sz="0" w:space="0" w:color="auto"/>
                    <w:right w:val="none" w:sz="0" w:space="0" w:color="auto"/>
                  </w:divBdr>
                  <w:divsChild>
                    <w:div w:id="212160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713731">
      <w:bodyDiv w:val="1"/>
      <w:marLeft w:val="0"/>
      <w:marRight w:val="0"/>
      <w:marTop w:val="0"/>
      <w:marBottom w:val="0"/>
      <w:divBdr>
        <w:top w:val="none" w:sz="0" w:space="0" w:color="auto"/>
        <w:left w:val="none" w:sz="0" w:space="0" w:color="auto"/>
        <w:bottom w:val="none" w:sz="0" w:space="0" w:color="auto"/>
        <w:right w:val="none" w:sz="0" w:space="0" w:color="auto"/>
      </w:divBdr>
      <w:divsChild>
        <w:div w:id="1326518393">
          <w:marLeft w:val="0"/>
          <w:marRight w:val="0"/>
          <w:marTop w:val="0"/>
          <w:marBottom w:val="0"/>
          <w:divBdr>
            <w:top w:val="none" w:sz="0" w:space="0" w:color="auto"/>
            <w:left w:val="none" w:sz="0" w:space="0" w:color="auto"/>
            <w:bottom w:val="none" w:sz="0" w:space="0" w:color="auto"/>
            <w:right w:val="none" w:sz="0" w:space="0" w:color="auto"/>
          </w:divBdr>
        </w:div>
      </w:divsChild>
    </w:div>
    <w:div w:id="2133479448">
      <w:bodyDiv w:val="1"/>
      <w:marLeft w:val="0"/>
      <w:marRight w:val="0"/>
      <w:marTop w:val="0"/>
      <w:marBottom w:val="0"/>
      <w:divBdr>
        <w:top w:val="none" w:sz="0" w:space="0" w:color="auto"/>
        <w:left w:val="none" w:sz="0" w:space="0" w:color="auto"/>
        <w:bottom w:val="none" w:sz="0" w:space="0" w:color="auto"/>
        <w:right w:val="none" w:sz="0" w:space="0" w:color="auto"/>
      </w:divBdr>
      <w:divsChild>
        <w:div w:id="10467541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curia.europa.eu/juris/document/document.jsf?text=&amp;docid=300750&amp;pageIndex=0&amp;doclang=EN&amp;mode=req&amp;dir=&amp;occ=first&amp;part=1&amp;cid=338751" TargetMode="External"/><Relationship Id="rId26" Type="http://schemas.openxmlformats.org/officeDocument/2006/relationships/hyperlink" Target="https://eur-lex.europa.eu/eli/dir/2002/87/oj/eng"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legal-content/EN/TXT/?uri=CELEX%3A02009L0138-20250117" TargetMode="External"/><Relationship Id="rId25" Type="http://schemas.openxmlformats.org/officeDocument/2006/relationships/hyperlink" Target="https://eur-lex.europa.eu/legal-content/en/TXT/?uri=CELEX%3A32014L0065"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eftacourt.int/wp-content/uploads/2025/02/17_24_Judgment_EN.pdf?x58089" TargetMode="External"/><Relationship Id="rId29" Type="http://schemas.openxmlformats.org/officeDocument/2006/relationships/hyperlink" Target="https://eur-lex.europa.eu/eli/dir/2016/2341/oj/e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eur-lex.europa.eu/eli/reg/2022/2554/oj/eng" TargetMode="External"/><Relationship Id="rId32" Type="http://schemas.openxmlformats.org/officeDocument/2006/relationships/hyperlink" Target="https://eur-lex.europa.eu/eli/reg/2017/2402/oj/eng"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eur-lex.europa.eu/eli/reg/2010/1094/oj/eng" TargetMode="External"/><Relationship Id="rId28" Type="http://schemas.openxmlformats.org/officeDocument/2006/relationships/hyperlink" Target="https://eur-lex.europa.eu/eli/reg/2002/1606/oj/eng" TargetMode="External"/><Relationship Id="rId10" Type="http://schemas.openxmlformats.org/officeDocument/2006/relationships/endnotes" Target="endnotes.xml"/><Relationship Id="rId19" Type="http://schemas.openxmlformats.org/officeDocument/2006/relationships/hyperlink" Target="https://curia.europa.eu/juris/document/document.jsf?text=&amp;docid=252135&amp;pageIndex=0&amp;doclang=en&amp;mode=lst&amp;dir=&amp;occ=first&amp;part=1&amp;cid=6783223" TargetMode="External"/><Relationship Id="rId31" Type="http://schemas.openxmlformats.org/officeDocument/2006/relationships/hyperlink" Target="https://eur-lex.europa.eu/eli/reg/2010/1092/oj/e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 Id="rId27" Type="http://schemas.openxmlformats.org/officeDocument/2006/relationships/hyperlink" Target="https://eur-lex.europa.eu/eli/reg/2012/648/oj/eng" TargetMode="External"/><Relationship Id="rId30" Type="http://schemas.openxmlformats.org/officeDocument/2006/relationships/hyperlink" Target="https://eur-lex.europa.eu/eli/dir/2015/849/oj/eng"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115</Pages>
  <Words>24856</Words>
  <Characters>132981</Characters>
  <Application>Microsoft Office Word</Application>
  <DocSecurity>0</DocSecurity>
  <Lines>4029</Lines>
  <Paragraphs>2391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5</cp:revision>
  <cp:lastPrinted>2025-07-08T14:47:00Z</cp:lastPrinted>
  <dcterms:created xsi:type="dcterms:W3CDTF">2025-07-16T20:43:00Z</dcterms:created>
  <dcterms:modified xsi:type="dcterms:W3CDTF">2025-07-17T22:32:00Z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